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3420"/>
        <w:gridCol w:w="1818"/>
      </w:tblGrid>
      <w:tr w:rsidR="000416B0" w:rsidRPr="00DC78C6" w:rsidTr="00D237A6">
        <w:tc>
          <w:tcPr>
            <w:tcW w:w="4338" w:type="dxa"/>
          </w:tcPr>
          <w:p w:rsidR="000416B0" w:rsidRPr="00DC78C6" w:rsidRDefault="000416B0" w:rsidP="00A1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Lesson:</w:t>
            </w:r>
            <w:r w:rsidR="00D3249B"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Is the sculpture </w:t>
            </w:r>
            <w:r w:rsidR="003D32AE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an appropriate </w:t>
            </w:r>
            <w:r w:rsidR="00A16FDF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to the history of the land that is currently McCabe </w:t>
            </w:r>
            <w:r w:rsidR="00675B3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>ark?</w:t>
            </w:r>
          </w:p>
        </w:tc>
        <w:tc>
          <w:tcPr>
            <w:tcW w:w="3420" w:type="dxa"/>
          </w:tcPr>
          <w:p w:rsidR="003D32AE" w:rsidRPr="00DC78C6" w:rsidRDefault="00D237A6" w:rsidP="003D3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CCSS </w:t>
            </w:r>
            <w:r w:rsidR="000416B0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Domain</w:t>
            </w:r>
            <w:r w:rsidR="00D3249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0416B0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D32AE" w:rsidRPr="00DC78C6" w:rsidRDefault="003D32AE" w:rsidP="003D3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History/Social Studies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32AE" w:rsidRPr="00DC78C6" w:rsidRDefault="003D32AE" w:rsidP="003D3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16B0" w:rsidRPr="00DC78C6" w:rsidRDefault="003D32AE" w:rsidP="00DC78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 xml:space="preserve"> (S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peaking and Listening</w:t>
            </w:r>
            <w:r w:rsidR="00DC78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8" w:type="dxa"/>
          </w:tcPr>
          <w:p w:rsidR="000416B0" w:rsidRPr="00DC78C6" w:rsidRDefault="00041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</w:p>
        </w:tc>
      </w:tr>
    </w:tbl>
    <w:p w:rsidR="00A21D38" w:rsidRPr="00DC78C6" w:rsidRDefault="00A21D38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D3249B" w:rsidRPr="00DC78C6" w:rsidTr="00040E4D">
        <w:tc>
          <w:tcPr>
            <w:tcW w:w="4338" w:type="dxa"/>
          </w:tcPr>
          <w:p w:rsidR="007E04E2" w:rsidRDefault="00D3249B" w:rsidP="007E0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Estimated Time for Lesson: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49B" w:rsidRPr="00DC78C6" w:rsidRDefault="007E04E2" w:rsidP="007E0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class periods; 50 minutes each</w:t>
            </w:r>
          </w:p>
        </w:tc>
        <w:tc>
          <w:tcPr>
            <w:tcW w:w="5238" w:type="dxa"/>
          </w:tcPr>
          <w:p w:rsidR="00D3249B" w:rsidRPr="00DC78C6" w:rsidRDefault="00D3249B" w:rsidP="003D3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Grade/Subject:</w:t>
            </w:r>
            <w:r w:rsidR="003D32AE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D32AE"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Grade Social Studies</w:t>
            </w:r>
          </w:p>
        </w:tc>
      </w:tr>
    </w:tbl>
    <w:p w:rsidR="00D3249B" w:rsidRPr="00DC78C6" w:rsidRDefault="00D3249B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2790"/>
        <w:gridCol w:w="2628"/>
      </w:tblGrid>
      <w:tr w:rsidR="000416B0" w:rsidRPr="00DC78C6" w:rsidTr="000416B0">
        <w:tc>
          <w:tcPr>
            <w:tcW w:w="9576" w:type="dxa"/>
            <w:gridSpan w:val="3"/>
          </w:tcPr>
          <w:p w:rsidR="000416B0" w:rsidRPr="00DC78C6" w:rsidRDefault="000416B0" w:rsidP="00D324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Standard</w:t>
            </w:r>
            <w:r w:rsidR="001F4F79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lesson </w:t>
            </w:r>
            <w:r w:rsidR="00D3249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addresses</w:t>
            </w:r>
          </w:p>
        </w:tc>
      </w:tr>
      <w:tr w:rsidR="00B35EC9" w:rsidRPr="00DC78C6" w:rsidTr="00B35EC9">
        <w:tc>
          <w:tcPr>
            <w:tcW w:w="4158" w:type="dxa"/>
          </w:tcPr>
          <w:p w:rsidR="00B35EC9" w:rsidRPr="00DC78C6" w:rsidRDefault="00B35EC9" w:rsidP="002A3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CCSStandard</w:t>
            </w:r>
            <w:proofErr w:type="spellEnd"/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  <w:tc>
          <w:tcPr>
            <w:tcW w:w="2790" w:type="dxa"/>
          </w:tcPr>
          <w:p w:rsidR="00B35EC9" w:rsidRPr="00DC78C6" w:rsidRDefault="00B35EC9" w:rsidP="00B35EC9">
            <w:pPr>
              <w:pStyle w:val="ListParagraph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Formative Assessment(s)</w:t>
            </w:r>
          </w:p>
        </w:tc>
        <w:tc>
          <w:tcPr>
            <w:tcW w:w="2628" w:type="dxa"/>
          </w:tcPr>
          <w:p w:rsidR="00B35EC9" w:rsidRPr="00DC78C6" w:rsidRDefault="00B35EC9" w:rsidP="00B35EC9">
            <w:pPr>
              <w:pStyle w:val="ListParagraph"/>
              <w:ind w:left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Summative Assessment(s)</w:t>
            </w:r>
          </w:p>
        </w:tc>
      </w:tr>
      <w:tr w:rsidR="00B35EC9" w:rsidRPr="00DC78C6" w:rsidTr="00B35EC9">
        <w:trPr>
          <w:trHeight w:val="1036"/>
        </w:trPr>
        <w:tc>
          <w:tcPr>
            <w:tcW w:w="4158" w:type="dxa"/>
          </w:tcPr>
          <w:p w:rsidR="00B35EC9" w:rsidRPr="00DC78C6" w:rsidRDefault="00B35EC9" w:rsidP="00B35EC9">
            <w:pPr>
              <w:pStyle w:val="ListParagraph"/>
              <w:numPr>
                <w:ilvl w:val="0"/>
                <w:numId w:val="13"/>
              </w:numPr>
              <w:ind w:left="18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History/Social Studies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:  CCSS.ELA-Literacy.RH.6-8.1 Cite specific textual evidence to support analysis of primary and secondary sources.</w:t>
            </w:r>
          </w:p>
        </w:tc>
        <w:tc>
          <w:tcPr>
            <w:tcW w:w="2790" w:type="dxa"/>
          </w:tcPr>
          <w:p w:rsidR="00B35EC9" w:rsidRPr="00DC78C6" w:rsidRDefault="00B35EC9" w:rsidP="00B3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Students will be formatively assessed through discussion in whole group and small group</w:t>
            </w:r>
          </w:p>
        </w:tc>
        <w:tc>
          <w:tcPr>
            <w:tcW w:w="2628" w:type="dxa"/>
          </w:tcPr>
          <w:p w:rsidR="00B35EC9" w:rsidRPr="00DC78C6" w:rsidRDefault="00B35EC9" w:rsidP="00B3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Students will provide evidence of thorough analysis through the use of an evidence graphic organizer</w:t>
            </w:r>
          </w:p>
        </w:tc>
      </w:tr>
      <w:tr w:rsidR="00B35EC9" w:rsidRPr="00DC78C6" w:rsidTr="00B35EC9">
        <w:trPr>
          <w:trHeight w:val="1035"/>
        </w:trPr>
        <w:tc>
          <w:tcPr>
            <w:tcW w:w="4158" w:type="dxa"/>
          </w:tcPr>
          <w:p w:rsidR="00B35EC9" w:rsidRPr="00DC78C6" w:rsidRDefault="00B35EC9" w:rsidP="00B35EC9">
            <w:pPr>
              <w:pStyle w:val="ListParagraph"/>
              <w:numPr>
                <w:ilvl w:val="0"/>
                <w:numId w:val="13"/>
              </w:numPr>
              <w:ind w:left="18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Literacy/Writing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:  CCSS.ELA-Literacy.W.7.1 Write arguments to support claims with clear reasons and relevant evidence.</w:t>
            </w:r>
          </w:p>
        </w:tc>
        <w:tc>
          <w:tcPr>
            <w:tcW w:w="2790" w:type="dxa"/>
          </w:tcPr>
          <w:p w:rsidR="00B35EC9" w:rsidRPr="00DC78C6" w:rsidRDefault="00B35EC9" w:rsidP="00B35E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Students will mark the texts for evidence that supports their claim</w:t>
            </w:r>
          </w:p>
        </w:tc>
        <w:tc>
          <w:tcPr>
            <w:tcW w:w="2628" w:type="dxa"/>
          </w:tcPr>
          <w:p w:rsidR="00B35EC9" w:rsidRPr="00DC78C6" w:rsidRDefault="00B35EC9" w:rsidP="00B35E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If students choose to write a letter to the editor, the letter will be assess</w:t>
            </w:r>
            <w:r w:rsidR="00DC78C6" w:rsidRPr="00DC78C6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using a rubric for writing</w:t>
            </w:r>
          </w:p>
        </w:tc>
      </w:tr>
      <w:tr w:rsidR="00B35EC9" w:rsidRPr="00DC78C6" w:rsidTr="00B35EC9">
        <w:trPr>
          <w:trHeight w:val="1035"/>
        </w:trPr>
        <w:tc>
          <w:tcPr>
            <w:tcW w:w="4158" w:type="dxa"/>
          </w:tcPr>
          <w:p w:rsidR="00B35EC9" w:rsidRPr="00DC78C6" w:rsidRDefault="00B35EC9" w:rsidP="003D32AE">
            <w:pPr>
              <w:pStyle w:val="ListParagraph"/>
              <w:numPr>
                <w:ilvl w:val="0"/>
                <w:numId w:val="13"/>
              </w:numPr>
              <w:ind w:left="180" w:hanging="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Literacy/Speaking and Listening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:  CCSS.ELA-Literacy.SL.7.4 Present claims and findings, emphasizing salient points in a focused, coherent manner with pertinent descriptions, facts, details, and examples; use appropriate eye contact, adequate volume, and clear pronunciation.</w:t>
            </w:r>
          </w:p>
        </w:tc>
        <w:tc>
          <w:tcPr>
            <w:tcW w:w="2790" w:type="dxa"/>
          </w:tcPr>
          <w:p w:rsidR="00B35EC9" w:rsidRPr="00DC78C6" w:rsidRDefault="00DC78C6" w:rsidP="000E3B7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081FFE">
              <w:rPr>
                <w:rFonts w:ascii="Times New Roman" w:hAnsi="Times New Roman" w:cs="Times New Roman"/>
                <w:sz w:val="24"/>
                <w:szCs w:val="24"/>
              </w:rPr>
              <w:t xml:space="preserve">engage </w:t>
            </w:r>
            <w:r w:rsidR="000E3B7C">
              <w:rPr>
                <w:rFonts w:ascii="Times New Roman" w:hAnsi="Times New Roman" w:cs="Times New Roman"/>
                <w:sz w:val="24"/>
                <w:szCs w:val="24"/>
              </w:rPr>
              <w:t xml:space="preserve">accountable talk </w:t>
            </w:r>
          </w:p>
        </w:tc>
        <w:tc>
          <w:tcPr>
            <w:tcW w:w="2628" w:type="dxa"/>
          </w:tcPr>
          <w:p w:rsidR="00B35EC9" w:rsidRPr="00DC78C6" w:rsidRDefault="00DC78C6" w:rsidP="00DC78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If students choose to create a presentation, the presentation will be assessed using a rubric</w:t>
            </w:r>
          </w:p>
        </w:tc>
      </w:tr>
      <w:tr w:rsidR="00DC78C6" w:rsidRPr="00DC78C6" w:rsidTr="00DC78C6">
        <w:tc>
          <w:tcPr>
            <w:tcW w:w="4158" w:type="dxa"/>
          </w:tcPr>
          <w:p w:rsidR="00DC78C6" w:rsidRPr="00DC78C6" w:rsidRDefault="00DC78C6" w:rsidP="00F217D0">
            <w:pPr>
              <w:pStyle w:val="ListParagraph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Tennessee Content Standards</w:t>
            </w:r>
          </w:p>
        </w:tc>
        <w:tc>
          <w:tcPr>
            <w:tcW w:w="2790" w:type="dxa"/>
          </w:tcPr>
          <w:p w:rsidR="000E3B7C" w:rsidRDefault="00DC78C6" w:rsidP="000E3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Formative</w:t>
            </w:r>
          </w:p>
          <w:p w:rsidR="00DC78C6" w:rsidRPr="00DC78C6" w:rsidRDefault="00DC78C6" w:rsidP="000E3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Assessment(s)</w:t>
            </w:r>
          </w:p>
        </w:tc>
        <w:tc>
          <w:tcPr>
            <w:tcW w:w="2628" w:type="dxa"/>
          </w:tcPr>
          <w:p w:rsidR="00DC78C6" w:rsidRPr="00DC78C6" w:rsidRDefault="00DC78C6" w:rsidP="00F2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Summative Assessment(s)</w:t>
            </w:r>
          </w:p>
        </w:tc>
      </w:tr>
      <w:tr w:rsidR="00DC78C6" w:rsidRPr="00DC78C6" w:rsidTr="00DC78C6">
        <w:tc>
          <w:tcPr>
            <w:tcW w:w="4158" w:type="dxa"/>
          </w:tcPr>
          <w:p w:rsidR="00DC78C6" w:rsidRPr="00B16916" w:rsidRDefault="00DC78C6" w:rsidP="00DC7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7.5.02 Recognize that places change over time. </w:t>
            </w:r>
          </w:p>
          <w:p w:rsidR="00DC78C6" w:rsidRPr="00DC78C6" w:rsidRDefault="00DC78C6" w:rsidP="00DC78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C78C6" w:rsidRPr="00DC78C6" w:rsidRDefault="00DC78C6" w:rsidP="00DC7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Students will be formatively assessed through discussion in whole group and small group</w:t>
            </w:r>
          </w:p>
        </w:tc>
        <w:tc>
          <w:tcPr>
            <w:tcW w:w="2628" w:type="dxa"/>
          </w:tcPr>
          <w:p w:rsidR="00DC78C6" w:rsidRPr="00DC78C6" w:rsidRDefault="00DC78C6" w:rsidP="000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For the Letter to the editor and the presentation, an assessment criteria will be the incorporation of facts regarding the changes to the landscape</w:t>
            </w:r>
            <w:r w:rsidR="000E3B7C">
              <w:rPr>
                <w:rFonts w:ascii="Times New Roman" w:hAnsi="Times New Roman" w:cs="Times New Roman"/>
                <w:sz w:val="24"/>
                <w:szCs w:val="24"/>
              </w:rPr>
              <w:t xml:space="preserve"> and the historical discoveries made on the land that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is now McCabe Park</w:t>
            </w:r>
          </w:p>
        </w:tc>
      </w:tr>
    </w:tbl>
    <w:p w:rsidR="00F217D0" w:rsidRDefault="00F217D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128"/>
      </w:tblGrid>
      <w:tr w:rsidR="002A397B" w:rsidRPr="00DC78C6" w:rsidTr="007B4A92">
        <w:tc>
          <w:tcPr>
            <w:tcW w:w="2448" w:type="dxa"/>
          </w:tcPr>
          <w:p w:rsidR="002A397B" w:rsidRPr="00DC78C6" w:rsidRDefault="002A397B" w:rsidP="009D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Clear Learning Targets</w:t>
            </w:r>
          </w:p>
        </w:tc>
        <w:tc>
          <w:tcPr>
            <w:tcW w:w="7128" w:type="dxa"/>
          </w:tcPr>
          <w:p w:rsidR="00D3249B" w:rsidRPr="00DC78C6" w:rsidRDefault="00D3249B" w:rsidP="00D324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“I can” statements: </w:t>
            </w:r>
          </w:p>
          <w:p w:rsidR="00DC78C6" w:rsidRDefault="00DC78C6" w:rsidP="00DC78C6">
            <w:pPr>
              <w:pStyle w:val="Normal1"/>
              <w:numPr>
                <w:ilvl w:val="0"/>
                <w:numId w:val="1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I can decide if </w:t>
            </w: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is an appropriate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sculpture</w:t>
            </w: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 xml:space="preserve"> for the history of McCabe Park, based on the various uses of the land and the many transitions that the land has gone through.</w:t>
            </w:r>
          </w:p>
          <w:p w:rsidR="00DC78C6" w:rsidRDefault="00DC78C6" w:rsidP="00DC78C6">
            <w:pPr>
              <w:pStyle w:val="Normal1"/>
              <w:numPr>
                <w:ilvl w:val="0"/>
                <w:numId w:val="1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base this decision on evidence from primary and secondary documents.</w:t>
            </w:r>
          </w:p>
          <w:p w:rsidR="00D3249B" w:rsidRPr="00DC78C6" w:rsidRDefault="00DC78C6" w:rsidP="000E3B7C">
            <w:pPr>
              <w:pStyle w:val="Normal1"/>
              <w:numPr>
                <w:ilvl w:val="0"/>
                <w:numId w:val="13"/>
              </w:numPr>
              <w:ind w:left="162" w:hanging="16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express my opinion on the appropriateness of </w:t>
            </w: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letter to the editor or a presentation to my class.</w:t>
            </w:r>
          </w:p>
        </w:tc>
      </w:tr>
      <w:tr w:rsidR="002A397B" w:rsidRPr="00DC78C6" w:rsidTr="007B4A92">
        <w:tc>
          <w:tcPr>
            <w:tcW w:w="2448" w:type="dxa"/>
          </w:tcPr>
          <w:p w:rsidR="002A397B" w:rsidRPr="00DC78C6" w:rsidRDefault="002A3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New Learning</w:t>
            </w:r>
          </w:p>
        </w:tc>
        <w:tc>
          <w:tcPr>
            <w:tcW w:w="7128" w:type="dxa"/>
          </w:tcPr>
          <w:p w:rsidR="002A397B" w:rsidRDefault="002A397B" w:rsidP="00F217D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Vocabulary</w:t>
            </w:r>
            <w:r w:rsidR="00F217D0">
              <w:rPr>
                <w:rFonts w:ascii="Times New Roman" w:hAnsi="Times New Roman" w:cs="Times New Roman"/>
                <w:sz w:val="24"/>
                <w:szCs w:val="24"/>
              </w:rPr>
              <w:t xml:space="preserve">—aileron, proposal,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</w:p>
          <w:p w:rsidR="00F217D0" w:rsidRDefault="00F217D0" w:rsidP="00F217D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Concepts—how can art represent the history of a place?</w:t>
            </w:r>
          </w:p>
          <w:p w:rsidR="00F217D0" w:rsidRPr="00DC78C6" w:rsidRDefault="00F217D0" w:rsidP="00F217D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Skills—</w:t>
            </w:r>
            <w:r w:rsidR="00F52353">
              <w:rPr>
                <w:rFonts w:ascii="Times New Roman" w:hAnsi="Times New Roman" w:cs="Times New Roman"/>
                <w:sz w:val="24"/>
                <w:szCs w:val="24"/>
              </w:rPr>
              <w:t>reading a picture; participating in accountable talk</w:t>
            </w:r>
          </w:p>
        </w:tc>
      </w:tr>
      <w:tr w:rsidR="002A397B" w:rsidRPr="00DC78C6" w:rsidTr="007B4A92">
        <w:tc>
          <w:tcPr>
            <w:tcW w:w="2448" w:type="dxa"/>
          </w:tcPr>
          <w:p w:rsidR="002A397B" w:rsidRPr="00DC78C6" w:rsidRDefault="002A3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Strategies</w:t>
            </w:r>
          </w:p>
        </w:tc>
        <w:tc>
          <w:tcPr>
            <w:tcW w:w="7128" w:type="dxa"/>
          </w:tcPr>
          <w:p w:rsidR="00F52353" w:rsidRPr="00F52353" w:rsidRDefault="00F52353" w:rsidP="00F52353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Teacher will model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comprehension strategy of reading a picture.</w:t>
            </w:r>
          </w:p>
          <w:p w:rsidR="002A397B" w:rsidRPr="00F52353" w:rsidRDefault="00F52353" w:rsidP="00F52353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rFonts w:ascii="Times New Roman" w:hAnsi="Times New Roman" w:cs="Times New Roman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in groups to set goals for group participation and work together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gather evidence from the texts on the four areas of focus.</w:t>
            </w:r>
          </w:p>
          <w:p w:rsidR="00F52353" w:rsidRPr="00F52353" w:rsidRDefault="00F52353" w:rsidP="00F52353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engage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accountable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talk to explore both sides of the essential question for the lesson.</w:t>
            </w:r>
          </w:p>
        </w:tc>
      </w:tr>
      <w:tr w:rsidR="002A397B" w:rsidRPr="00DC78C6" w:rsidTr="007B4A92">
        <w:tc>
          <w:tcPr>
            <w:tcW w:w="2448" w:type="dxa"/>
          </w:tcPr>
          <w:p w:rsidR="002A397B" w:rsidRPr="00DC78C6" w:rsidRDefault="002A3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Materials and Resources</w:t>
            </w:r>
          </w:p>
        </w:tc>
        <w:tc>
          <w:tcPr>
            <w:tcW w:w="7128" w:type="dxa"/>
          </w:tcPr>
          <w:p w:rsidR="002A397B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 xml:space="preserve">Picture of </w:t>
            </w:r>
            <w:r w:rsidRPr="00A16F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Aileron </w:t>
            </w: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sculpture (primary document)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 xml:space="preserve">Site information from Metro Arts </w:t>
            </w:r>
            <w:r w:rsidR="00B377BD" w:rsidRPr="00A16FDF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 xml:space="preserve"> (secondary documents)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 w:rsidRPr="00A16FDF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 xml:space="preserve"> RFQ Call to Artists (primary document)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Graphic organizer for picture “read”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Accountable Talk illustration and goal setting handout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Graphic organizer for areas of focus on text analysis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Yes/No/Consensus Graphic Organizer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Handout of options for deliverables</w:t>
            </w:r>
          </w:p>
          <w:p w:rsidR="00F52353" w:rsidRPr="00A16FDF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Rubric for letter and presentation assessment</w:t>
            </w:r>
          </w:p>
          <w:p w:rsidR="00F52353" w:rsidRPr="00DC78C6" w:rsidRDefault="00F52353" w:rsidP="009D163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DF">
              <w:rPr>
                <w:rFonts w:ascii="Times New Roman" w:hAnsi="Times New Roman" w:cs="Times New Roman"/>
                <w:sz w:val="24"/>
                <w:szCs w:val="24"/>
              </w:rPr>
              <w:t>Rubric for sculpture aligned with RFQ Call to Artists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16B0" w:rsidRPr="00DC78C6" w:rsidRDefault="000416B0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A00FD" w:rsidRPr="00DC78C6" w:rsidTr="003503E4">
        <w:tc>
          <w:tcPr>
            <w:tcW w:w="9576" w:type="dxa"/>
          </w:tcPr>
          <w:p w:rsidR="00F52353" w:rsidRDefault="008A00FD" w:rsidP="00F523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Cross-curricular Connections:</w:t>
            </w:r>
            <w:r w:rsidRPr="00DC7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F52353" w:rsidRPr="00BF6E03" w:rsidRDefault="00F52353" w:rsidP="00F52353">
            <w:pPr>
              <w:rPr>
                <w:rFonts w:ascii="Times New Roman" w:hAnsi="Times New Roman" w:cs="Times New Roman"/>
                <w:iCs/>
              </w:rPr>
            </w:pPr>
            <w:r w:rsidRPr="00BF6E03">
              <w:rPr>
                <w:rFonts w:ascii="Times New Roman" w:hAnsi="Times New Roman" w:cs="Times New Roman"/>
                <w:iCs/>
              </w:rPr>
              <w:t>There is a strong connection between this ELA lesson and the following 7</w:t>
            </w:r>
            <w:r w:rsidRPr="00BF6E03">
              <w:rPr>
                <w:rFonts w:ascii="Times New Roman" w:hAnsi="Times New Roman" w:cs="Times New Roman"/>
                <w:iCs/>
                <w:vertAlign w:val="superscript"/>
              </w:rPr>
              <w:t>th</w:t>
            </w:r>
            <w:r w:rsidRPr="00BF6E03">
              <w:rPr>
                <w:rFonts w:ascii="Times New Roman" w:hAnsi="Times New Roman" w:cs="Times New Roman"/>
                <w:iCs/>
              </w:rPr>
              <w:t xml:space="preserve"> grade Visual Arts Standards:</w:t>
            </w:r>
          </w:p>
          <w:p w:rsidR="00F52353" w:rsidRPr="00BF6E03" w:rsidRDefault="00F52353" w:rsidP="00F52353">
            <w:pPr>
              <w:rPr>
                <w:rFonts w:ascii="Times New Roman" w:eastAsia="Times New Roman" w:hAnsi="Times New Roman" w:cs="Times New Roman"/>
              </w:rPr>
            </w:pPr>
            <w:r w:rsidRPr="00BF6E03">
              <w:rPr>
                <w:rFonts w:ascii="Times New Roman" w:hAnsi="Times New Roman" w:cs="Times New Roman"/>
                <w:iCs/>
              </w:rPr>
              <w:t xml:space="preserve"> </w:t>
            </w:r>
            <w:r w:rsidRPr="00BF6E03">
              <w:rPr>
                <w:rFonts w:ascii="Times New Roman" w:eastAsia="Times New Roman" w:hAnsi="Times New Roman" w:cs="Times New Roman"/>
              </w:rPr>
              <w:t xml:space="preserve">3.2 Demonstrate knowledge of contexts, values, and aesthetics that communicate intended meanings in artworks. </w:t>
            </w:r>
          </w:p>
          <w:p w:rsidR="008A00FD" w:rsidRPr="00DC78C6" w:rsidRDefault="00F52353" w:rsidP="00F52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E03">
              <w:rPr>
                <w:rFonts w:ascii="Times New Roman" w:eastAsia="Times New Roman" w:hAnsi="Times New Roman" w:cs="Times New Roman"/>
              </w:rPr>
              <w:t>3.3 Reflect on the effective use of subject matter, symbols, and ideas.</w:t>
            </w:r>
          </w:p>
        </w:tc>
      </w:tr>
    </w:tbl>
    <w:p w:rsidR="008A00FD" w:rsidRPr="00DC78C6" w:rsidRDefault="008A00FD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630"/>
        <w:gridCol w:w="4158"/>
      </w:tblGrid>
      <w:tr w:rsidR="000416B0" w:rsidRPr="00DC78C6" w:rsidTr="000416B0">
        <w:tc>
          <w:tcPr>
            <w:tcW w:w="9576" w:type="dxa"/>
            <w:gridSpan w:val="3"/>
          </w:tcPr>
          <w:p w:rsidR="000416B0" w:rsidRPr="00DC78C6" w:rsidRDefault="000416B0" w:rsidP="00F52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Framing the Lesson</w:t>
            </w:r>
            <w:r w:rsidR="00263E8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</w:t>
            </w:r>
            <w:r w:rsidR="00F52353">
              <w:rPr>
                <w:rFonts w:ascii="Times New Roman" w:hAnsi="Times New Roman" w:cs="Times New Roman"/>
                <w:b/>
                <w:sz w:val="24"/>
                <w:szCs w:val="24"/>
              </w:rPr>
              <w:t>2 minutes</w:t>
            </w:r>
            <w:r w:rsidR="00263E8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416B0" w:rsidRPr="00DC78C6" w:rsidTr="000416B0">
        <w:tc>
          <w:tcPr>
            <w:tcW w:w="9576" w:type="dxa"/>
            <w:gridSpan w:val="3"/>
          </w:tcPr>
          <w:p w:rsidR="00F52353" w:rsidRDefault="00F52353" w:rsidP="009D16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Facilitate a discussion about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 xml:space="preserve">monuments or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sculpture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the students already know about or have seen.</w:t>
            </w:r>
          </w:p>
          <w:p w:rsidR="00F52353" w:rsidRDefault="00F52353" w:rsidP="009D16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students why they think these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 xml:space="preserve">monuments or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sculpture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are so famous, or are easily remembered. </w:t>
            </w:r>
          </w:p>
          <w:p w:rsidR="00795D23" w:rsidRDefault="00F52353" w:rsidP="009D16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Also ask students to consider the criteria that make a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 xml:space="preserve">monument or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sculpture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historic.</w:t>
            </w:r>
          </w:p>
          <w:p w:rsidR="00F52353" w:rsidRPr="00DC78C6" w:rsidRDefault="00F52353" w:rsidP="009D16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Announce the purpose of the lesson through the explanation of “I Can” statements.</w:t>
            </w:r>
          </w:p>
        </w:tc>
      </w:tr>
      <w:tr w:rsidR="000416B0" w:rsidRPr="00DC78C6" w:rsidTr="00795D23">
        <w:tc>
          <w:tcPr>
            <w:tcW w:w="5418" w:type="dxa"/>
            <w:gridSpan w:val="2"/>
          </w:tcPr>
          <w:p w:rsidR="000416B0" w:rsidRPr="00DC78C6" w:rsidRDefault="00795D23" w:rsidP="00F52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Instruction</w:t>
            </w:r>
            <w:r w:rsidR="00263E8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52353">
              <w:rPr>
                <w:rFonts w:ascii="Times New Roman" w:hAnsi="Times New Roman" w:cs="Times New Roman"/>
                <w:b/>
                <w:sz w:val="24"/>
                <w:szCs w:val="24"/>
              </w:rPr>
              <w:t>2 class periods; 50 minutes each</w:t>
            </w:r>
            <w:r w:rsidR="00263E8B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158" w:type="dxa"/>
          </w:tcPr>
          <w:p w:rsidR="000416B0" w:rsidRPr="00DC78C6" w:rsidRDefault="000416B0" w:rsidP="007B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Anticipated </w:t>
            </w:r>
            <w:r w:rsidR="007B375E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learning difficulties</w:t>
            </w:r>
            <w:r w:rsidR="00F52353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F54BE" w:rsidRPr="00DC78C6" w:rsidTr="007F54BE">
        <w:trPr>
          <w:trHeight w:val="270"/>
        </w:trPr>
        <w:tc>
          <w:tcPr>
            <w:tcW w:w="5418" w:type="dxa"/>
            <w:gridSpan w:val="2"/>
            <w:vMerge w:val="restart"/>
          </w:tcPr>
          <w:p w:rsidR="00F52353" w:rsidRPr="00F52353" w:rsidRDefault="00F52353" w:rsidP="00F52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Day One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Show students the picture of Aileron to “read”—primary document 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Model the process of reading a picture—complete the graphic organizer of picture read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Discuss the accountable talk rubric, set goals for your own accountable talk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Assign groups and group roles—natural features, local history, important people, community culture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Give the document packet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4_HistoryNotes 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McCabe_Airfield_Info</w:t>
            </w:r>
            <w:proofErr w:type="spellEnd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RFQ_Call_to_Artists</w:t>
            </w:r>
            <w:proofErr w:type="spellEnd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Students read and mark the documents through the lens of their role, using post-its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Complete the graphic organizer for their area of focus</w:t>
            </w:r>
          </w:p>
          <w:p w:rsidR="008E098E" w:rsidRPr="00485965" w:rsidRDefault="008E098E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 all group members to share information regarding area of focus</w:t>
            </w:r>
          </w:p>
          <w:p w:rsidR="00F52353" w:rsidRPr="00F52353" w:rsidRDefault="00F52353" w:rsidP="00F52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Day Two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Consider the question:  Is the sculpture Aileron an appropriate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to the history of the land that is currently McCabe Park?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Participate in accountable talk to complete graphic organizer of yes/no/consensus graphic organizer</w:t>
            </w:r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Once the yes/no/consensus graphic organizer has been completed, student chooses from these deliverables: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letter to </w:t>
            </w:r>
            <w:r w:rsidR="008E098E"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expressing whether </w:t>
            </w:r>
            <w:r w:rsidRPr="008E09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Aileron 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is or is not an appropriate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to the history of the land that is currently McCabe Park.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verbal presentation </w:t>
            </w:r>
            <w:r w:rsidR="008E098E">
              <w:rPr>
                <w:rFonts w:ascii="Times New Roman" w:hAnsi="Times New Roman" w:cs="Times New Roman"/>
                <w:sz w:val="24"/>
                <w:szCs w:val="24"/>
              </w:rPr>
              <w:t xml:space="preserve">intended for 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="008E0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expressing whether </w:t>
            </w:r>
            <w:r w:rsidRPr="008E098E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is or is not an appropriate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to the history of the land that is currently McCabe Park.</w:t>
            </w:r>
          </w:p>
          <w:p w:rsidR="00F52353" w:rsidRPr="00F52353" w:rsidRDefault="00F52353" w:rsidP="008E098E">
            <w:pPr>
              <w:pStyle w:val="ListParagraph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drawing or graphic representation of a sculpture that would be an appropriate </w:t>
            </w:r>
            <w:r w:rsidR="00883C8C">
              <w:rPr>
                <w:rFonts w:ascii="Times New Roman" w:hAnsi="Times New Roman" w:cs="Times New Roman"/>
                <w:sz w:val="24"/>
                <w:szCs w:val="24"/>
              </w:rPr>
              <w:t>monument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to the history 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 the land that is currently McCabe Park, with a presentation that meets the criteria in the </w:t>
            </w: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RFQ_Call_to_Artists</w:t>
            </w:r>
            <w:proofErr w:type="spellEnd"/>
          </w:p>
          <w:p w:rsidR="00F52353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A rubric that could assess the letter and presentation.</w:t>
            </w:r>
          </w:p>
          <w:p w:rsidR="007F54BE" w:rsidRPr="00F52353" w:rsidRDefault="00F52353" w:rsidP="008E09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A rubric for the sculpture aligned to the RFQ Call to Artists.</w:t>
            </w:r>
          </w:p>
        </w:tc>
        <w:tc>
          <w:tcPr>
            <w:tcW w:w="4158" w:type="dxa"/>
          </w:tcPr>
          <w:p w:rsidR="007F54BE" w:rsidRPr="00DC78C6" w:rsidRDefault="007F54BE" w:rsidP="007F54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Anticipated learning difficulties students may have.</w:t>
            </w:r>
          </w:p>
        </w:tc>
      </w:tr>
      <w:tr w:rsidR="007F54BE" w:rsidRPr="00DC78C6" w:rsidTr="00795D23">
        <w:trPr>
          <w:trHeight w:val="270"/>
        </w:trPr>
        <w:tc>
          <w:tcPr>
            <w:tcW w:w="5418" w:type="dxa"/>
            <w:gridSpan w:val="2"/>
            <w:vMerge/>
          </w:tcPr>
          <w:p w:rsidR="007F54BE" w:rsidRPr="00DC78C6" w:rsidRDefault="007F54BE" w:rsidP="00795D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58" w:type="dxa"/>
          </w:tcPr>
          <w:p w:rsidR="007F54BE" w:rsidRPr="00DC78C6" w:rsidRDefault="007F54BE" w:rsidP="007F54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Student prompting</w:t>
            </w:r>
            <w:r w:rsidR="00F52353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F54BE" w:rsidRPr="00DC78C6" w:rsidTr="00795D23">
        <w:trPr>
          <w:trHeight w:val="270"/>
        </w:trPr>
        <w:tc>
          <w:tcPr>
            <w:tcW w:w="5418" w:type="dxa"/>
            <w:gridSpan w:val="2"/>
            <w:vMerge/>
          </w:tcPr>
          <w:p w:rsidR="007F54BE" w:rsidRPr="00DC78C6" w:rsidRDefault="007F54BE" w:rsidP="00795D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58" w:type="dxa"/>
          </w:tcPr>
          <w:p w:rsidR="007F54BE" w:rsidRPr="00DC78C6" w:rsidRDefault="007F54BE" w:rsidP="007F54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Ways to help students move through the task.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DC78C6" w:rsidRDefault="00D3249B" w:rsidP="008E0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Set (</w:t>
            </w:r>
            <w:r w:rsidR="008E09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</w:t>
            </w: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3052D8" w:rsidRDefault="003052D8" w:rsidP="00883C8C">
            <w:pPr>
              <w:ind w:left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You are a top researcher for AMS Planning and Research Corporation (</w:t>
            </w:r>
            <w:r w:rsidRPr="003052D8">
              <w:rPr>
                <w:rFonts w:ascii="Times New Roman" w:hAnsi="Times New Roman" w:cs="Times New Roman"/>
                <w:iCs/>
                <w:sz w:val="24"/>
                <w:szCs w:val="24"/>
              </w:rPr>
              <w:t>http://www.ams-online.com/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and have been hired by the Metro Arts </w:t>
            </w:r>
            <w:r w:rsidR="00B377BD">
              <w:rPr>
                <w:rFonts w:ascii="Times New Roman" w:hAnsi="Times New Roman" w:cs="Times New Roman"/>
                <w:iCs/>
                <w:sz w:val="24"/>
                <w:szCs w:val="24"/>
              </w:rPr>
              <w:t>Commission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to evaluate several pieces in their art collection.  You will start by evaluating </w:t>
            </w:r>
            <w:r w:rsidRPr="003052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Aileron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a sculpture found in current-day McCabe Park.  After you evaluate this piece of art, you will submit your findings to the Metro Arts </w:t>
            </w:r>
            <w:r w:rsidR="00B377BD">
              <w:rPr>
                <w:rFonts w:ascii="Times New Roman" w:hAnsi="Times New Roman" w:cs="Times New Roman"/>
                <w:iCs/>
                <w:sz w:val="24"/>
                <w:szCs w:val="24"/>
              </w:rPr>
              <w:t>Commission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in one of these formats:  a letter to Metro Arts explaining your findings, a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presentation explaining your findings, or a drawing or graphic representation of an alternative piece of artwork along with your description of the artwork and what makes it a more appropriate </w:t>
            </w:r>
            <w:r w:rsidR="00883C8C">
              <w:rPr>
                <w:rFonts w:ascii="Times New Roman" w:hAnsi="Times New Roman" w:cs="Times New Roman"/>
                <w:iCs/>
                <w:sz w:val="24"/>
                <w:szCs w:val="24"/>
              </w:rPr>
              <w:t>monument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to the history of McCabe Park.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DC78C6" w:rsidRDefault="00D3249B" w:rsidP="008E0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 (</w:t>
            </w:r>
            <w:r w:rsidR="008E098E">
              <w:rPr>
                <w:rFonts w:ascii="Times New Roman" w:hAnsi="Times New Roman" w:cs="Times New Roman"/>
                <w:b/>
                <w:sz w:val="24"/>
                <w:szCs w:val="24"/>
              </w:rPr>
              <w:t>2 minutes</w:t>
            </w: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3052D8" w:rsidRDefault="003052D8" w:rsidP="0008693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model the process of reading the picture of the sculpture, </w:t>
            </w:r>
            <w:r w:rsidRPr="003052D8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</w:p>
          <w:p w:rsidR="003052D8" w:rsidRPr="00DC78C6" w:rsidRDefault="003052D8" w:rsidP="0008693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guide the process of completing the graphic organizer, reading the picture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DC78C6" w:rsidRDefault="00D3249B" w:rsidP="007B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Questioning:  Illuminating Student Thinking</w:t>
            </w:r>
          </w:p>
        </w:tc>
      </w:tr>
      <w:tr w:rsidR="00D3249B" w:rsidRPr="00DC78C6" w:rsidTr="002C3DC6">
        <w:tc>
          <w:tcPr>
            <w:tcW w:w="4788" w:type="dxa"/>
          </w:tcPr>
          <w:p w:rsidR="00D3249B" w:rsidRPr="00DC78C6" w:rsidRDefault="008E098E" w:rsidP="007B37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</w:t>
            </w:r>
            <w:r w:rsidR="00D3249B" w:rsidRPr="00DC7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Assessing Questions</w:t>
            </w:r>
          </w:p>
        </w:tc>
        <w:tc>
          <w:tcPr>
            <w:tcW w:w="4788" w:type="dxa"/>
            <w:gridSpan w:val="2"/>
          </w:tcPr>
          <w:p w:rsidR="00D3249B" w:rsidRPr="00DC78C6" w:rsidRDefault="008E098E" w:rsidP="007B37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</w:t>
            </w:r>
            <w:r w:rsidR="00D3249B" w:rsidRPr="00DC7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Advancing Questions</w:t>
            </w:r>
          </w:p>
        </w:tc>
      </w:tr>
      <w:tr w:rsidR="00D3249B" w:rsidRPr="00DC78C6" w:rsidTr="009F3C4E">
        <w:tc>
          <w:tcPr>
            <w:tcW w:w="4788" w:type="dxa"/>
          </w:tcPr>
          <w:p w:rsidR="00D3249B" w:rsidRPr="00DC78C6" w:rsidRDefault="008A00FD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Base</w:t>
            </w:r>
            <w:r w:rsidR="00D3249B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closely on the work student has produced;</w:t>
            </w:r>
          </w:p>
          <w:p w:rsidR="00D3249B" w:rsidRPr="00DC78C6" w:rsidRDefault="00D3249B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Clarify what the student has done and what the student understands about what s/he has done;</w:t>
            </w:r>
          </w:p>
          <w:p w:rsidR="00D3249B" w:rsidRPr="00DC78C6" w:rsidRDefault="00D3249B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Provide information to the teacher about what the student understands.</w:t>
            </w:r>
          </w:p>
        </w:tc>
        <w:tc>
          <w:tcPr>
            <w:tcW w:w="4788" w:type="dxa"/>
            <w:gridSpan w:val="2"/>
          </w:tcPr>
          <w:p w:rsidR="00D3249B" w:rsidRPr="00DC78C6" w:rsidRDefault="00D3249B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Use what students have produced as a basis for making progress toward target goal;</w:t>
            </w:r>
          </w:p>
          <w:p w:rsidR="00D3249B" w:rsidRPr="00DC78C6" w:rsidRDefault="00D3249B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Move students beyond their current thinking by pressing students to extend what they know to a new situation;</w:t>
            </w:r>
          </w:p>
          <w:p w:rsidR="00D3249B" w:rsidRPr="00DC78C6" w:rsidRDefault="00D3249B" w:rsidP="00C800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Press students to think about something they are not currently thinking about.</w:t>
            </w:r>
          </w:p>
        </w:tc>
      </w:tr>
      <w:tr w:rsidR="00D3249B" w:rsidRPr="00DC78C6" w:rsidTr="006B0965">
        <w:tc>
          <w:tcPr>
            <w:tcW w:w="9576" w:type="dxa"/>
            <w:gridSpan w:val="3"/>
          </w:tcPr>
          <w:p w:rsidR="00D3249B" w:rsidRPr="00DC78C6" w:rsidRDefault="00D3249B" w:rsidP="003052D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 practice 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Default="003052D8" w:rsidP="007B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One (40 minutes)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Discuss the accountable talk rubric, set goals for your own accountable talk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Assign groups and group roles—natural features, local history, important people, community culture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Give the document packet</w:t>
            </w:r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4_HistoryNotes </w:t>
            </w:r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McCabe_Airfield_Info</w:t>
            </w:r>
            <w:proofErr w:type="spellEnd"/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RFQ_Call_to_Artists</w:t>
            </w:r>
            <w:proofErr w:type="spellEnd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Students read and mark the documents through the lens of their role, using post-its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Complete the graphic organizer for their area of focus</w:t>
            </w:r>
          </w:p>
          <w:p w:rsidR="00485965" w:rsidRPr="00485965" w:rsidRDefault="00485965" w:rsidP="0048596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 all group members to share information regarding area of focus</w:t>
            </w:r>
          </w:p>
          <w:p w:rsidR="00485965" w:rsidRDefault="00485965" w:rsidP="0048596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2D8" w:rsidRDefault="003052D8" w:rsidP="007B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Two (40 minutes)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Consider the question:  Is the sculpture Aileron an appropriate monument to the history of the land that is currently McCabe Park?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Participate in accountable talk to complete graphic organizer of yes/no/consensus graphic organizer</w:t>
            </w:r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Once the yes/no/consensus graphic organizer has been completed, student chooses from these deliverables:</w:t>
            </w:r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letter to </w:t>
            </w:r>
            <w:r w:rsidR="00485965"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expressing whether </w:t>
            </w:r>
            <w:r w:rsidRPr="00485965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is or is not an appropriate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sculpture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to the history of the land that is currently McCabe Park.</w:t>
            </w:r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verbal presentation </w:t>
            </w:r>
            <w:r w:rsidR="00485965">
              <w:rPr>
                <w:rFonts w:ascii="Times New Roman" w:hAnsi="Times New Roman" w:cs="Times New Roman"/>
                <w:sz w:val="24"/>
                <w:szCs w:val="24"/>
              </w:rPr>
              <w:t xml:space="preserve">intended for 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 w:rsidR="00485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expressing whether </w:t>
            </w:r>
            <w:r w:rsidRPr="00485965">
              <w:rPr>
                <w:rFonts w:ascii="Times New Roman" w:hAnsi="Times New Roman" w:cs="Times New Roman"/>
                <w:i/>
                <w:sz w:val="24"/>
                <w:szCs w:val="24"/>
              </w:rPr>
              <w:t>Aileron</w:t>
            </w: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is or is not an appropriate monument to the history of the land that is currently McCabe Park.</w:t>
            </w:r>
          </w:p>
          <w:p w:rsidR="003052D8" w:rsidRPr="00F52353" w:rsidRDefault="003052D8" w:rsidP="003052D8">
            <w:pPr>
              <w:pStyle w:val="ListParagraph"/>
              <w:numPr>
                <w:ilvl w:val="1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A drawing or graphic representation of a sculpture that would be an appropriate monument to the history of the land that is currently McCabe Park, with a presentation that meets the criteria in the </w:t>
            </w:r>
            <w:proofErr w:type="spellStart"/>
            <w:r w:rsidRPr="00F52353">
              <w:rPr>
                <w:rFonts w:ascii="Times New Roman" w:hAnsi="Times New Roman" w:cs="Times New Roman"/>
                <w:sz w:val="24"/>
                <w:szCs w:val="24"/>
              </w:rPr>
              <w:t>RFQ_Call_to_Artists</w:t>
            </w:r>
            <w:proofErr w:type="spellEnd"/>
          </w:p>
          <w:p w:rsidR="003052D8" w:rsidRPr="00F52353" w:rsidRDefault="003052D8" w:rsidP="003052D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2353">
              <w:rPr>
                <w:rFonts w:ascii="Times New Roman" w:hAnsi="Times New Roman" w:cs="Times New Roman"/>
                <w:sz w:val="24"/>
                <w:szCs w:val="24"/>
              </w:rPr>
              <w:t xml:space="preserve"> A rubric that could assess the letter and presentation.</w:t>
            </w:r>
          </w:p>
          <w:p w:rsidR="003052D8" w:rsidRPr="00485965" w:rsidRDefault="003052D8" w:rsidP="00485965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965">
              <w:rPr>
                <w:rFonts w:ascii="Times New Roman" w:hAnsi="Times New Roman" w:cs="Times New Roman"/>
                <w:sz w:val="24"/>
                <w:szCs w:val="24"/>
              </w:rPr>
              <w:t>A rubric for the sculpture aligned to the RFQ Call to Artists.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DC78C6" w:rsidRDefault="00D3249B" w:rsidP="008E0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Lesson Closure  (</w:t>
            </w:r>
            <w:r w:rsidR="008E098E">
              <w:rPr>
                <w:rFonts w:ascii="Times New Roman" w:hAnsi="Times New Roman" w:cs="Times New Roman"/>
                <w:b/>
                <w:sz w:val="24"/>
                <w:szCs w:val="24"/>
              </w:rPr>
              <w:t>5 minutes</w:t>
            </w: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3249B" w:rsidRPr="00DC78C6" w:rsidTr="000416B0">
        <w:tc>
          <w:tcPr>
            <w:tcW w:w="9576" w:type="dxa"/>
            <w:gridSpan w:val="3"/>
          </w:tcPr>
          <w:p w:rsidR="00D3249B" w:rsidRPr="00485965" w:rsidRDefault="00485965" w:rsidP="008A00F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965">
              <w:rPr>
                <w:rFonts w:ascii="Times New Roman" w:hAnsi="Times New Roman" w:cs="Times New Roman"/>
                <w:iCs/>
                <w:sz w:val="24"/>
                <w:szCs w:val="24"/>
              </w:rPr>
              <w:t>On Day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One, students will reflect on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accountable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talk goals.</w:t>
            </w:r>
          </w:p>
          <w:p w:rsidR="00485965" w:rsidRPr="00485965" w:rsidRDefault="00485965" w:rsidP="008A00F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On Day Two, students will self-assess letters, presentations, or alternative art.</w:t>
            </w:r>
          </w:p>
        </w:tc>
      </w:tr>
    </w:tbl>
    <w:p w:rsidR="001F4F79" w:rsidRPr="00DC78C6" w:rsidRDefault="001F4F79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471E8" w:rsidRPr="00DC78C6" w:rsidTr="000416B0">
        <w:tc>
          <w:tcPr>
            <w:tcW w:w="9576" w:type="dxa"/>
          </w:tcPr>
          <w:p w:rsidR="007471E8" w:rsidRPr="00DC78C6" w:rsidRDefault="007471E8" w:rsidP="00747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Homework</w:t>
            </w:r>
          </w:p>
        </w:tc>
      </w:tr>
      <w:tr w:rsidR="007471E8" w:rsidRPr="00DC78C6" w:rsidTr="000416B0">
        <w:tc>
          <w:tcPr>
            <w:tcW w:w="9576" w:type="dxa"/>
          </w:tcPr>
          <w:p w:rsidR="007471E8" w:rsidRPr="00485965" w:rsidRDefault="00485965" w:rsidP="007471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Assigned as needed to complete the summative assessments.</w:t>
            </w:r>
          </w:p>
        </w:tc>
      </w:tr>
    </w:tbl>
    <w:p w:rsidR="008C53CB" w:rsidRPr="00DC78C6" w:rsidRDefault="008C53CB" w:rsidP="00F52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C53CB" w:rsidRPr="00DC78C6" w:rsidTr="0008693E">
        <w:tc>
          <w:tcPr>
            <w:tcW w:w="9576" w:type="dxa"/>
          </w:tcPr>
          <w:p w:rsidR="008C53CB" w:rsidRPr="00DC78C6" w:rsidRDefault="00485965" w:rsidP="0008693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*</w:t>
            </w:r>
            <w:r w:rsidR="008C53CB" w:rsidRPr="00DC78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Differentiated Instruction:</w:t>
            </w:r>
          </w:p>
        </w:tc>
      </w:tr>
      <w:tr w:rsidR="008C53CB" w:rsidRPr="00DC78C6" w:rsidTr="0008693E">
        <w:tc>
          <w:tcPr>
            <w:tcW w:w="9576" w:type="dxa"/>
          </w:tcPr>
          <w:p w:rsidR="008C53CB" w:rsidRPr="00DC78C6" w:rsidRDefault="00D3249B" w:rsidP="00D3249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ELL Modifications: </w:t>
            </w:r>
            <w:r w:rsidRPr="00DC7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 will I provide access to the academic content and/or make modifications for the student whose primary language is one other than English?</w:t>
            </w:r>
          </w:p>
        </w:tc>
      </w:tr>
      <w:tr w:rsidR="00D3249B" w:rsidRPr="00DC78C6" w:rsidTr="0008693E">
        <w:tc>
          <w:tcPr>
            <w:tcW w:w="9576" w:type="dxa"/>
          </w:tcPr>
          <w:p w:rsidR="00D3249B" w:rsidRPr="00DC78C6" w:rsidRDefault="00D3249B" w:rsidP="00D3249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SPED Modifications </w:t>
            </w:r>
            <w:r w:rsidRPr="00DC7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 will I provide access to the academic content and/or make modifications for the student who has an IEP?</w:t>
            </w:r>
          </w:p>
        </w:tc>
      </w:tr>
      <w:tr w:rsidR="007F54BE" w:rsidRPr="00DC78C6" w:rsidTr="00891147">
        <w:tc>
          <w:tcPr>
            <w:tcW w:w="9576" w:type="dxa"/>
          </w:tcPr>
          <w:p w:rsidR="007F54BE" w:rsidRPr="00DC78C6" w:rsidRDefault="00485965" w:rsidP="00891147">
            <w:pPr>
              <w:tabs>
                <w:tab w:val="left" w:pos="25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7F54BE"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Reflection</w:t>
            </w:r>
          </w:p>
        </w:tc>
      </w:tr>
      <w:tr w:rsidR="007F54BE" w:rsidRPr="00DC78C6" w:rsidTr="00891147">
        <w:tc>
          <w:tcPr>
            <w:tcW w:w="9576" w:type="dxa"/>
          </w:tcPr>
          <w:p w:rsidR="007F54BE" w:rsidRPr="00DC78C6" w:rsidRDefault="007F54BE" w:rsidP="00724647">
            <w:pPr>
              <w:pStyle w:val="ListParagraph"/>
              <w:numPr>
                <w:ilvl w:val="0"/>
                <w:numId w:val="5"/>
              </w:num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Reflection on pla</w:t>
            </w:r>
            <w:r w:rsidR="008A00FD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nning and delivery of lesson- How </w:t>
            </w:r>
            <w:r w:rsidR="00724647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will I connect</w:t>
            </w:r>
            <w:r w:rsidR="008A00FD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tomorrow</w:t>
            </w:r>
            <w:r w:rsidR="00724647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’s instruction</w:t>
            </w:r>
            <w:r w:rsidR="008A00FD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with </w:t>
            </w:r>
            <w:r w:rsidR="00724647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this lesson</w:t>
            </w:r>
            <w:r w:rsidR="008A00FD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? How should I modify this lesson the next time it</w:t>
            </w:r>
            <w:r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is taught</w:t>
            </w:r>
            <w:r w:rsidR="008A00FD" w:rsidRPr="00DC78C6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7B375E" w:rsidRPr="00DC78C6" w:rsidTr="007B375E">
        <w:tc>
          <w:tcPr>
            <w:tcW w:w="9576" w:type="dxa"/>
          </w:tcPr>
          <w:p w:rsidR="007B375E" w:rsidRPr="00DC78C6" w:rsidRDefault="00263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C78C6">
              <w:rPr>
                <w:rFonts w:ascii="Times New Roman" w:hAnsi="Times New Roman" w:cs="Times New Roman"/>
                <w:b/>
                <w:sz w:val="24"/>
                <w:szCs w:val="24"/>
              </w:rPr>
              <w:t>Appendices</w:t>
            </w:r>
          </w:p>
        </w:tc>
      </w:tr>
      <w:tr w:rsidR="007B375E" w:rsidRPr="00DC78C6" w:rsidTr="007B375E">
        <w:tc>
          <w:tcPr>
            <w:tcW w:w="9576" w:type="dxa"/>
          </w:tcPr>
          <w:p w:rsidR="007B375E" w:rsidRPr="00DC78C6" w:rsidRDefault="007B375E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8C6">
              <w:rPr>
                <w:rFonts w:ascii="Times New Roman" w:hAnsi="Times New Roman" w:cs="Times New Roman"/>
                <w:sz w:val="24"/>
                <w:szCs w:val="24"/>
              </w:rPr>
              <w:t>Lesson plan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Picture of </w:t>
            </w:r>
            <w:r w:rsidRPr="00F523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Aileron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sculpture (primary document)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information from 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(secondary documents)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Metro Arts </w:t>
            </w:r>
            <w:r w:rsidR="00B377BD">
              <w:rPr>
                <w:rFonts w:ascii="Times New Roman" w:hAnsi="Times New Roman" w:cs="Times New Roman"/>
                <w:sz w:val="24"/>
                <w:szCs w:val="24"/>
              </w:rPr>
              <w:t>Commission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RFQ Call to Artists (primary document)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Graphic organizer for picture “read”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Accountable Talk illustration and goal setting handout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Graphic organizer for areas of focus on text analysis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Yes/No/Consensus Graphic Organizer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Handout of options for deliverables</w:t>
            </w:r>
          </w:p>
          <w:p w:rsidR="00485965" w:rsidRPr="00F52353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Rubric for letter and presentation assessment</w:t>
            </w:r>
          </w:p>
          <w:p w:rsidR="007B375E" w:rsidRPr="00DC78C6" w:rsidRDefault="00485965" w:rsidP="00485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Rubric for sculpture aligned with RFQ Call to Artists</w:t>
            </w:r>
          </w:p>
        </w:tc>
      </w:tr>
    </w:tbl>
    <w:p w:rsidR="007B375E" w:rsidRPr="00DC78C6" w:rsidRDefault="007B375E">
      <w:pPr>
        <w:rPr>
          <w:rFonts w:ascii="Times New Roman" w:hAnsi="Times New Roman" w:cs="Times New Roman"/>
          <w:sz w:val="24"/>
          <w:szCs w:val="24"/>
        </w:rPr>
      </w:pPr>
    </w:p>
    <w:sectPr w:rsidR="007B375E" w:rsidRPr="00DC78C6" w:rsidSect="0054155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DEE" w:rsidRDefault="00E85DEE" w:rsidP="00D237A6">
      <w:pPr>
        <w:spacing w:after="0" w:line="240" w:lineRule="auto"/>
      </w:pPr>
      <w:r>
        <w:separator/>
      </w:r>
    </w:p>
  </w:endnote>
  <w:endnote w:type="continuationSeparator" w:id="0">
    <w:p w:rsidR="00E85DEE" w:rsidRDefault="00E85DEE" w:rsidP="00D2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8E098E">
      <w:tc>
        <w:tcPr>
          <w:tcW w:w="918" w:type="dxa"/>
        </w:tcPr>
        <w:p w:rsidR="008E098E" w:rsidRDefault="008E098E" w:rsidP="008E098E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noProof/>
            </w:rPr>
            <w:drawing>
              <wp:inline distT="0" distB="0" distL="0" distR="0">
                <wp:extent cx="343814" cy="3438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_CCS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3099" cy="343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8E098E" w:rsidRDefault="008E098E">
          <w:pPr>
            <w:pStyle w:val="Footer"/>
          </w:pPr>
          <w:r>
            <w:rPr>
              <w:rFonts w:ascii="Times New Roman" w:hAnsi="Times New Roman" w:cs="Times New Roman"/>
            </w:rPr>
            <w:t>Developed by the Ayers Institute for Teacher Learning &amp; Innovation</w:t>
          </w:r>
        </w:p>
      </w:tc>
    </w:tr>
  </w:tbl>
  <w:p w:rsidR="002E3423" w:rsidRDefault="002E34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DEE" w:rsidRDefault="00E85DEE" w:rsidP="00D237A6">
      <w:pPr>
        <w:spacing w:after="0" w:line="240" w:lineRule="auto"/>
      </w:pPr>
      <w:r>
        <w:separator/>
      </w:r>
    </w:p>
  </w:footnote>
  <w:footnote w:type="continuationSeparator" w:id="0">
    <w:p w:rsidR="00E85DEE" w:rsidRDefault="00E85DEE" w:rsidP="00D2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5CA154C189D46F6A4FD8569084E87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237A6" w:rsidRDefault="008C53C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Planning for a Common Core State Standards Lesson</w:t>
        </w:r>
      </w:p>
    </w:sdtContent>
  </w:sdt>
  <w:p w:rsidR="00D237A6" w:rsidRDefault="00D237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A80"/>
    <w:multiLevelType w:val="hybridMultilevel"/>
    <w:tmpl w:val="32322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F2563"/>
    <w:multiLevelType w:val="hybridMultilevel"/>
    <w:tmpl w:val="DF36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C63E8"/>
    <w:multiLevelType w:val="hybridMultilevel"/>
    <w:tmpl w:val="6846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022C5"/>
    <w:multiLevelType w:val="hybridMultilevel"/>
    <w:tmpl w:val="1E703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E7BE1"/>
    <w:multiLevelType w:val="hybridMultilevel"/>
    <w:tmpl w:val="64020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E6B7D"/>
    <w:multiLevelType w:val="hybridMultilevel"/>
    <w:tmpl w:val="E36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86C82"/>
    <w:multiLevelType w:val="hybridMultilevel"/>
    <w:tmpl w:val="63F8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A4860"/>
    <w:multiLevelType w:val="hybridMultilevel"/>
    <w:tmpl w:val="BD6A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D70BF"/>
    <w:multiLevelType w:val="hybridMultilevel"/>
    <w:tmpl w:val="1D66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A2FAF"/>
    <w:multiLevelType w:val="hybridMultilevel"/>
    <w:tmpl w:val="DF36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C8137C"/>
    <w:multiLevelType w:val="hybridMultilevel"/>
    <w:tmpl w:val="6D06E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17D6"/>
    <w:multiLevelType w:val="hybridMultilevel"/>
    <w:tmpl w:val="27DEB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067A6"/>
    <w:multiLevelType w:val="hybridMultilevel"/>
    <w:tmpl w:val="DF36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B6D88"/>
    <w:multiLevelType w:val="hybridMultilevel"/>
    <w:tmpl w:val="E3B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B141E"/>
    <w:multiLevelType w:val="hybridMultilevel"/>
    <w:tmpl w:val="EED27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302F11"/>
    <w:multiLevelType w:val="hybridMultilevel"/>
    <w:tmpl w:val="FEE66540"/>
    <w:lvl w:ilvl="0" w:tplc="CFA0DB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DB5354"/>
    <w:multiLevelType w:val="hybridMultilevel"/>
    <w:tmpl w:val="61CE7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5240E"/>
    <w:multiLevelType w:val="hybridMultilevel"/>
    <w:tmpl w:val="EF48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13"/>
  </w:num>
  <w:num w:numId="9">
    <w:abstractNumId w:val="2"/>
  </w:num>
  <w:num w:numId="10">
    <w:abstractNumId w:val="10"/>
  </w:num>
  <w:num w:numId="11">
    <w:abstractNumId w:val="4"/>
  </w:num>
  <w:num w:numId="12">
    <w:abstractNumId w:val="17"/>
  </w:num>
  <w:num w:numId="13">
    <w:abstractNumId w:val="14"/>
  </w:num>
  <w:num w:numId="14">
    <w:abstractNumId w:val="16"/>
  </w:num>
  <w:num w:numId="15">
    <w:abstractNumId w:val="12"/>
  </w:num>
  <w:num w:numId="16">
    <w:abstractNumId w:val="9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B0"/>
    <w:rsid w:val="000416B0"/>
    <w:rsid w:val="00081FFE"/>
    <w:rsid w:val="00086879"/>
    <w:rsid w:val="000E3B7C"/>
    <w:rsid w:val="00103C7A"/>
    <w:rsid w:val="00181829"/>
    <w:rsid w:val="001A579B"/>
    <w:rsid w:val="001F4F79"/>
    <w:rsid w:val="00222F88"/>
    <w:rsid w:val="00250FFD"/>
    <w:rsid w:val="00263E8B"/>
    <w:rsid w:val="002A397B"/>
    <w:rsid w:val="002E3423"/>
    <w:rsid w:val="003052D8"/>
    <w:rsid w:val="003D32AE"/>
    <w:rsid w:val="00485965"/>
    <w:rsid w:val="0054155D"/>
    <w:rsid w:val="00630D4F"/>
    <w:rsid w:val="00675B39"/>
    <w:rsid w:val="0068120A"/>
    <w:rsid w:val="007012F1"/>
    <w:rsid w:val="00724647"/>
    <w:rsid w:val="007471E8"/>
    <w:rsid w:val="00795D23"/>
    <w:rsid w:val="007A5290"/>
    <w:rsid w:val="007B2218"/>
    <w:rsid w:val="007B375E"/>
    <w:rsid w:val="007B4A92"/>
    <w:rsid w:val="007E04E2"/>
    <w:rsid w:val="007F54BE"/>
    <w:rsid w:val="00883C8C"/>
    <w:rsid w:val="008A00FD"/>
    <w:rsid w:val="008A17D0"/>
    <w:rsid w:val="008C53CB"/>
    <w:rsid w:val="008E098E"/>
    <w:rsid w:val="009D1639"/>
    <w:rsid w:val="009D65FB"/>
    <w:rsid w:val="00A16FDF"/>
    <w:rsid w:val="00A21D38"/>
    <w:rsid w:val="00A4053E"/>
    <w:rsid w:val="00AA53CC"/>
    <w:rsid w:val="00B35EC9"/>
    <w:rsid w:val="00B377BD"/>
    <w:rsid w:val="00BA431B"/>
    <w:rsid w:val="00BF7064"/>
    <w:rsid w:val="00C800B8"/>
    <w:rsid w:val="00CC05D4"/>
    <w:rsid w:val="00D237A6"/>
    <w:rsid w:val="00D3249B"/>
    <w:rsid w:val="00D558F8"/>
    <w:rsid w:val="00DC78C6"/>
    <w:rsid w:val="00E703F8"/>
    <w:rsid w:val="00E85DEE"/>
    <w:rsid w:val="00EA58A4"/>
    <w:rsid w:val="00EA645E"/>
    <w:rsid w:val="00EF1A7C"/>
    <w:rsid w:val="00F217D0"/>
    <w:rsid w:val="00F52353"/>
    <w:rsid w:val="00F9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16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7A6"/>
  </w:style>
  <w:style w:type="paragraph" w:styleId="Footer">
    <w:name w:val="footer"/>
    <w:basedOn w:val="Normal"/>
    <w:link w:val="FooterChar"/>
    <w:uiPriority w:val="99"/>
    <w:unhideWhenUsed/>
    <w:rsid w:val="00D23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7A6"/>
  </w:style>
  <w:style w:type="paragraph" w:styleId="BalloonText">
    <w:name w:val="Balloon Text"/>
    <w:basedOn w:val="Normal"/>
    <w:link w:val="BalloonTextChar"/>
    <w:uiPriority w:val="99"/>
    <w:semiHidden/>
    <w:unhideWhenUsed/>
    <w:rsid w:val="00D2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32AE"/>
    <w:rPr>
      <w:color w:val="0000FF"/>
      <w:u w:val="single"/>
    </w:rPr>
  </w:style>
  <w:style w:type="paragraph" w:customStyle="1" w:styleId="Normal1">
    <w:name w:val="Normal1"/>
    <w:rsid w:val="00DC78C6"/>
    <w:pPr>
      <w:spacing w:after="0"/>
    </w:pPr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16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7A6"/>
  </w:style>
  <w:style w:type="paragraph" w:styleId="Footer">
    <w:name w:val="footer"/>
    <w:basedOn w:val="Normal"/>
    <w:link w:val="FooterChar"/>
    <w:uiPriority w:val="99"/>
    <w:unhideWhenUsed/>
    <w:rsid w:val="00D23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7A6"/>
  </w:style>
  <w:style w:type="paragraph" w:styleId="BalloonText">
    <w:name w:val="Balloon Text"/>
    <w:basedOn w:val="Normal"/>
    <w:link w:val="BalloonTextChar"/>
    <w:uiPriority w:val="99"/>
    <w:semiHidden/>
    <w:unhideWhenUsed/>
    <w:rsid w:val="00D2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32AE"/>
    <w:rPr>
      <w:color w:val="0000FF"/>
      <w:u w:val="single"/>
    </w:rPr>
  </w:style>
  <w:style w:type="paragraph" w:customStyle="1" w:styleId="Normal1">
    <w:name w:val="Normal1"/>
    <w:rsid w:val="00DC78C6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CA154C189D46F6A4FD8569084E8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A8B10-B826-4666-A2EA-F1F47DBE74FC}"/>
      </w:docPartPr>
      <w:docPartBody>
        <w:p w:rsidR="00C65B44" w:rsidRDefault="00C509AD" w:rsidP="00C509AD">
          <w:pPr>
            <w:pStyle w:val="25CA154C189D46F6A4FD8569084E87F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509AD"/>
    <w:rsid w:val="001E5F7D"/>
    <w:rsid w:val="004302E8"/>
    <w:rsid w:val="004A494E"/>
    <w:rsid w:val="005B1CAD"/>
    <w:rsid w:val="006654B5"/>
    <w:rsid w:val="00843A10"/>
    <w:rsid w:val="008A798D"/>
    <w:rsid w:val="00B869E4"/>
    <w:rsid w:val="00B96CD2"/>
    <w:rsid w:val="00BD7C5C"/>
    <w:rsid w:val="00C509AD"/>
    <w:rsid w:val="00C65B44"/>
    <w:rsid w:val="00DA566C"/>
    <w:rsid w:val="00F2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CA154C189D46F6A4FD8569084E87F6">
    <w:name w:val="25CA154C189D46F6A4FD8569084E87F6"/>
    <w:rsid w:val="00C509AD"/>
  </w:style>
  <w:style w:type="paragraph" w:customStyle="1" w:styleId="E247EC8CDA1E4C248FE47A2FB51AFA96">
    <w:name w:val="E247EC8CDA1E4C248FE47A2FB51AFA96"/>
    <w:rsid w:val="00C509AD"/>
  </w:style>
  <w:style w:type="paragraph" w:customStyle="1" w:styleId="7652E67C67DB43AA9A4B4DC8DC155F8B">
    <w:name w:val="7652E67C67DB43AA9A4B4DC8DC155F8B"/>
    <w:rsid w:val="00C509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CE97-DA1F-4DF1-9010-2E82029C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for a Common Core State Standards Lesson</vt:lpstr>
    </vt:vector>
  </TitlesOfParts>
  <Company>Lipscomb University</Company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for a Common Core State Standards Lesson</dc:title>
  <dc:creator>Windows User</dc:creator>
  <cp:lastModifiedBy>Vincent, Caroline (Arts)</cp:lastModifiedBy>
  <cp:revision>6</cp:revision>
  <cp:lastPrinted>2013-04-26T13:50:00Z</cp:lastPrinted>
  <dcterms:created xsi:type="dcterms:W3CDTF">2013-05-24T19:57:00Z</dcterms:created>
  <dcterms:modified xsi:type="dcterms:W3CDTF">2013-10-08T14:24:00Z</dcterms:modified>
</cp:coreProperties>
</file>