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4F3D7" w14:textId="77777777" w:rsidR="00E47D73" w:rsidRPr="00DC273C" w:rsidRDefault="00E47D73" w:rsidP="00E47D73">
      <w:pPr>
        <w:rPr>
          <w:b/>
        </w:rPr>
      </w:pPr>
      <w:r w:rsidRPr="00DC273C">
        <w:rPr>
          <w:b/>
        </w:rPr>
        <w:t xml:space="preserve">Online learners need </w:t>
      </w:r>
      <w:r w:rsidRPr="00317475">
        <w:rPr>
          <w:b/>
          <w:u w:val="single"/>
        </w:rPr>
        <w:t>instructors</w:t>
      </w:r>
      <w:r w:rsidRPr="00DC273C">
        <w:rPr>
          <w:b/>
        </w:rPr>
        <w:t xml:space="preserve"> to:</w:t>
      </w:r>
    </w:p>
    <w:p w14:paraId="341B66CF" w14:textId="77777777" w:rsidR="00E47D73" w:rsidRDefault="00E47D73" w:rsidP="00E47D73"/>
    <w:p w14:paraId="1A43D5AA" w14:textId="77777777" w:rsidR="00E47D73" w:rsidRPr="000544F9" w:rsidRDefault="00E47D73" w:rsidP="00E47D73">
      <w:pPr>
        <w:pStyle w:val="ListParagraph"/>
        <w:numPr>
          <w:ilvl w:val="0"/>
          <w:numId w:val="1"/>
        </w:numPr>
      </w:pPr>
      <w:r>
        <w:t xml:space="preserve">Be visibly and actively involved </w:t>
      </w:r>
    </w:p>
    <w:p w14:paraId="376892A8" w14:textId="77777777" w:rsidR="00E47D73" w:rsidRDefault="00E47D73" w:rsidP="00E47D73">
      <w:pPr>
        <w:pStyle w:val="ListParagraph"/>
        <w:numPr>
          <w:ilvl w:val="0"/>
          <w:numId w:val="1"/>
        </w:numPr>
      </w:pPr>
      <w:r>
        <w:t>I</w:t>
      </w:r>
      <w:r w:rsidRPr="000544F9">
        <w:t>nvolve every</w:t>
      </w:r>
      <w:r>
        <w:t>one in the learning activities</w:t>
      </w:r>
    </w:p>
    <w:p w14:paraId="41CEFDD7" w14:textId="77777777" w:rsidR="00E47D73" w:rsidRDefault="00E47D73" w:rsidP="00E47D73">
      <w:pPr>
        <w:pStyle w:val="ListParagraph"/>
        <w:numPr>
          <w:ilvl w:val="0"/>
          <w:numId w:val="1"/>
        </w:numPr>
      </w:pPr>
      <w:r>
        <w:t>Communicate well – consistent, thoughtful, and connecting on a personal level</w:t>
      </w:r>
    </w:p>
    <w:p w14:paraId="3CECED88" w14:textId="77777777" w:rsidR="00E47D73" w:rsidRDefault="00E47D73" w:rsidP="00E47D73">
      <w:pPr>
        <w:pStyle w:val="ListParagraph"/>
        <w:numPr>
          <w:ilvl w:val="0"/>
          <w:numId w:val="1"/>
        </w:numPr>
      </w:pPr>
      <w:r>
        <w:t>Offer flexibility</w:t>
      </w:r>
    </w:p>
    <w:p w14:paraId="68615EBC" w14:textId="77777777" w:rsidR="00E47D73" w:rsidRDefault="00E47D73" w:rsidP="00E47D73">
      <w:pPr>
        <w:pStyle w:val="ListParagraph"/>
        <w:numPr>
          <w:ilvl w:val="0"/>
          <w:numId w:val="1"/>
        </w:numPr>
      </w:pPr>
      <w:r>
        <w:t>P</w:t>
      </w:r>
      <w:r w:rsidRPr="000544F9">
        <w:t>rovide meaningful and practical connections betwe</w:t>
      </w:r>
      <w:r>
        <w:t>en theory and practice</w:t>
      </w:r>
    </w:p>
    <w:p w14:paraId="7A7C3473" w14:textId="77777777" w:rsidR="00E47D73" w:rsidRDefault="00E47D73" w:rsidP="00E47D73">
      <w:pPr>
        <w:pStyle w:val="ListParagraph"/>
        <w:numPr>
          <w:ilvl w:val="0"/>
          <w:numId w:val="1"/>
        </w:numPr>
      </w:pPr>
      <w:r>
        <w:t>Provide a structured yet comfortable environment</w:t>
      </w:r>
    </w:p>
    <w:p w14:paraId="09F51E09" w14:textId="77777777" w:rsidR="00E47D73" w:rsidRDefault="00E47D73" w:rsidP="00E47D73">
      <w:pPr>
        <w:pStyle w:val="ListParagraph"/>
        <w:numPr>
          <w:ilvl w:val="0"/>
          <w:numId w:val="1"/>
        </w:numPr>
      </w:pPr>
      <w:r>
        <w:t>Commit</w:t>
      </w:r>
      <w:r w:rsidRPr="000544F9">
        <w:t xml:space="preserve"> to doing what is necessary to </w:t>
      </w:r>
      <w:r>
        <w:t>make an online course effective</w:t>
      </w:r>
      <w:r w:rsidRPr="000544F9">
        <w:t xml:space="preserve"> </w:t>
      </w:r>
    </w:p>
    <w:p w14:paraId="1B8DF54C" w14:textId="77777777" w:rsidR="00E47D73" w:rsidRPr="000544F9" w:rsidRDefault="00E47D73" w:rsidP="00E47D73"/>
    <w:p w14:paraId="300816AA" w14:textId="77777777" w:rsidR="00E47D73" w:rsidRPr="00DC273C" w:rsidRDefault="00E47D73" w:rsidP="00E47D73">
      <w:pPr>
        <w:rPr>
          <w:sz w:val="21"/>
        </w:rPr>
      </w:pPr>
      <w:r w:rsidRPr="00DC273C">
        <w:rPr>
          <w:sz w:val="21"/>
        </w:rPr>
        <w:t>Source: Young, S. (2006). Student views of effective online teaching in higher education. </w:t>
      </w:r>
      <w:r w:rsidRPr="00DC273C">
        <w:rPr>
          <w:i/>
          <w:iCs/>
          <w:sz w:val="21"/>
        </w:rPr>
        <w:t>The American Journal of Distance Education, 20</w:t>
      </w:r>
      <w:r w:rsidRPr="00DC273C">
        <w:rPr>
          <w:sz w:val="21"/>
        </w:rPr>
        <w:t>(2), 65–77. http://dx.doi.org/10.1207/s15389286ajde2002_2</w:t>
      </w:r>
    </w:p>
    <w:p w14:paraId="569D9473" w14:textId="77777777" w:rsidR="00E47D73" w:rsidRDefault="00E47D73" w:rsidP="000544F9">
      <w:pPr>
        <w:rPr>
          <w:i/>
        </w:rPr>
      </w:pPr>
    </w:p>
    <w:p w14:paraId="54719EF1" w14:textId="22CF34F1" w:rsidR="00EE1D9D" w:rsidRPr="000544F9" w:rsidRDefault="00EE1D9D" w:rsidP="000544F9">
      <w:pPr>
        <w:rPr>
          <w:i/>
        </w:rPr>
      </w:pPr>
      <w:r w:rsidRPr="00EE1D9D">
        <w:rPr>
          <w:i/>
        </w:rPr>
        <w:t>Three elements help to explain the educational experience online from a process perspective.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2609"/>
        <w:gridCol w:w="3871"/>
        <w:gridCol w:w="3420"/>
      </w:tblGrid>
      <w:tr w:rsidR="00E47D73" w:rsidRPr="00EE1D9D" w14:paraId="2A33CD93" w14:textId="77777777" w:rsidTr="00E47D73">
        <w:tc>
          <w:tcPr>
            <w:tcW w:w="3865" w:type="dxa"/>
          </w:tcPr>
          <w:p w14:paraId="25EB60B0" w14:textId="77777777" w:rsidR="00EE1D9D" w:rsidRPr="00EE1D9D" w:rsidRDefault="00EE1D9D" w:rsidP="00EE1D9D">
            <w:pPr>
              <w:rPr>
                <w:b/>
                <w:sz w:val="28"/>
              </w:rPr>
            </w:pPr>
            <w:r w:rsidRPr="00EE1D9D">
              <w:rPr>
                <w:b/>
                <w:sz w:val="28"/>
              </w:rPr>
              <w:t>Elements</w:t>
            </w:r>
          </w:p>
        </w:tc>
        <w:tc>
          <w:tcPr>
            <w:tcW w:w="2609" w:type="dxa"/>
          </w:tcPr>
          <w:p w14:paraId="51E9114F" w14:textId="77777777" w:rsidR="00EE1D9D" w:rsidRPr="00EE1D9D" w:rsidRDefault="00EE1D9D" w:rsidP="00EE1D9D">
            <w:pPr>
              <w:rPr>
                <w:b/>
                <w:sz w:val="28"/>
              </w:rPr>
            </w:pPr>
            <w:r w:rsidRPr="00EE1D9D">
              <w:rPr>
                <w:b/>
                <w:sz w:val="28"/>
              </w:rPr>
              <w:t>Description</w:t>
            </w:r>
          </w:p>
        </w:tc>
        <w:tc>
          <w:tcPr>
            <w:tcW w:w="3871" w:type="dxa"/>
          </w:tcPr>
          <w:p w14:paraId="7549E793" w14:textId="77777777" w:rsidR="00EE1D9D" w:rsidRPr="00EE1D9D" w:rsidRDefault="00EE1D9D" w:rsidP="00EE1D9D">
            <w:pPr>
              <w:rPr>
                <w:b/>
                <w:sz w:val="28"/>
              </w:rPr>
            </w:pPr>
            <w:r w:rsidRPr="00EE1D9D">
              <w:rPr>
                <w:b/>
                <w:sz w:val="28"/>
              </w:rPr>
              <w:t>Examples of indicators</w:t>
            </w:r>
          </w:p>
        </w:tc>
        <w:tc>
          <w:tcPr>
            <w:tcW w:w="3420" w:type="dxa"/>
          </w:tcPr>
          <w:p w14:paraId="2F45F77A" w14:textId="77777777" w:rsidR="00EE1D9D" w:rsidRPr="00EE1D9D" w:rsidRDefault="00EE1D9D" w:rsidP="00EE1D9D">
            <w:pPr>
              <w:rPr>
                <w:b/>
                <w:sz w:val="28"/>
              </w:rPr>
            </w:pPr>
            <w:r w:rsidRPr="00EE1D9D">
              <w:rPr>
                <w:b/>
                <w:sz w:val="28"/>
              </w:rPr>
              <w:t>Supporting tools</w:t>
            </w:r>
          </w:p>
        </w:tc>
      </w:tr>
      <w:tr w:rsidR="00E47D73" w14:paraId="0C4DD4E3" w14:textId="77777777" w:rsidTr="00E47D73">
        <w:tc>
          <w:tcPr>
            <w:tcW w:w="3865" w:type="dxa"/>
          </w:tcPr>
          <w:p w14:paraId="5330929E" w14:textId="27093B08" w:rsidR="00E47D73" w:rsidRDefault="00EE1D9D">
            <w:r>
              <w:t>Social Presence</w:t>
            </w:r>
          </w:p>
          <w:p w14:paraId="00D50CB5" w14:textId="77777777" w:rsidR="00E47D73" w:rsidRDefault="00E47D73"/>
          <w:p w14:paraId="20625A78" w14:textId="09758D7F" w:rsidR="00E47D73" w:rsidRDefault="00E47D73">
            <w:r>
              <w:t>How engaged are the learners with one another and the instructor?</w:t>
            </w:r>
          </w:p>
        </w:tc>
        <w:tc>
          <w:tcPr>
            <w:tcW w:w="2609" w:type="dxa"/>
          </w:tcPr>
          <w:p w14:paraId="78356DCE" w14:textId="77777777" w:rsidR="00EE1D9D" w:rsidRDefault="00EE1D9D">
            <w:r>
              <w:t>Open communication</w:t>
            </w:r>
          </w:p>
          <w:p w14:paraId="34C26B3A" w14:textId="77777777" w:rsidR="00EE1D9D" w:rsidRDefault="00EE1D9D">
            <w:r>
              <w:t>Group cohesion</w:t>
            </w:r>
          </w:p>
          <w:p w14:paraId="21985F6C" w14:textId="77777777" w:rsidR="00EE1D9D" w:rsidRDefault="00EE1D9D">
            <w:r>
              <w:t>Personal/Affective</w:t>
            </w:r>
          </w:p>
        </w:tc>
        <w:tc>
          <w:tcPr>
            <w:tcW w:w="3871" w:type="dxa"/>
          </w:tcPr>
          <w:p w14:paraId="6D91736B" w14:textId="77777777" w:rsidR="00EE1D9D" w:rsidRDefault="00EE1D9D">
            <w:r>
              <w:t>Learning climate/Risk-free expression</w:t>
            </w:r>
          </w:p>
          <w:p w14:paraId="0005D120" w14:textId="77777777" w:rsidR="00EE1D9D" w:rsidRDefault="00EE1D9D">
            <w:r>
              <w:t>Group identity/collaboration</w:t>
            </w:r>
          </w:p>
          <w:p w14:paraId="7A3478D6" w14:textId="77777777" w:rsidR="00EE1D9D" w:rsidRDefault="00EE1D9D">
            <w:r>
              <w:t>Self-projection/expressing emotions</w:t>
            </w:r>
          </w:p>
        </w:tc>
        <w:tc>
          <w:tcPr>
            <w:tcW w:w="3420" w:type="dxa"/>
          </w:tcPr>
          <w:p w14:paraId="4A0C9D22" w14:textId="77777777" w:rsidR="00EE1D9D" w:rsidRDefault="00EE1D9D">
            <w:r>
              <w:t>Canvas discussion boards</w:t>
            </w:r>
          </w:p>
          <w:p w14:paraId="0462F1EB" w14:textId="77777777" w:rsidR="00A82DD5" w:rsidRDefault="00A82DD5">
            <w:r>
              <w:t>Zoom video conferencing and chatting</w:t>
            </w:r>
          </w:p>
          <w:p w14:paraId="64BAB0AE" w14:textId="77777777" w:rsidR="003230C9" w:rsidRDefault="003230C9">
            <w:proofErr w:type="spellStart"/>
            <w:r>
              <w:t>Flipgrid</w:t>
            </w:r>
            <w:proofErr w:type="spellEnd"/>
          </w:p>
          <w:p w14:paraId="02D6FA52" w14:textId="7E5CA266" w:rsidR="003230C9" w:rsidRDefault="003230C9" w:rsidP="003230C9">
            <w:r>
              <w:t>Google drive and apps</w:t>
            </w:r>
          </w:p>
        </w:tc>
      </w:tr>
      <w:tr w:rsidR="00E47D73" w14:paraId="585CC8D7" w14:textId="77777777" w:rsidTr="00E47D73">
        <w:tc>
          <w:tcPr>
            <w:tcW w:w="3865" w:type="dxa"/>
          </w:tcPr>
          <w:p w14:paraId="131FF03D" w14:textId="637AC22F" w:rsidR="00E47D73" w:rsidRDefault="00EE1D9D">
            <w:r>
              <w:t>Cognitive Presence</w:t>
            </w:r>
          </w:p>
          <w:p w14:paraId="441C1D79" w14:textId="77777777" w:rsidR="00E47D73" w:rsidRDefault="00E47D73"/>
          <w:p w14:paraId="20ECCBAE" w14:textId="749F8F0B" w:rsidR="00E47D73" w:rsidRDefault="00E47D73">
            <w:r>
              <w:t>How does the content presentation build knowledge and skills and provide for deep thinking opportunities?</w:t>
            </w:r>
          </w:p>
        </w:tc>
        <w:tc>
          <w:tcPr>
            <w:tcW w:w="2609" w:type="dxa"/>
          </w:tcPr>
          <w:p w14:paraId="374E9A0F" w14:textId="5DEAE44C" w:rsidR="00EE1D9D" w:rsidRDefault="00E47D73">
            <w:r>
              <w:t>Initiating</w:t>
            </w:r>
            <w:r w:rsidR="00EE1D9D">
              <w:t xml:space="preserve"> event</w:t>
            </w:r>
          </w:p>
          <w:p w14:paraId="5D790375" w14:textId="77777777" w:rsidR="00EE1D9D" w:rsidRDefault="00EE1D9D">
            <w:r>
              <w:t>Exploration</w:t>
            </w:r>
          </w:p>
          <w:p w14:paraId="0686851C" w14:textId="77777777" w:rsidR="00EE1D9D" w:rsidRDefault="00EE1D9D">
            <w:r>
              <w:t>Integration</w:t>
            </w:r>
          </w:p>
          <w:p w14:paraId="71AD4255" w14:textId="77777777" w:rsidR="00EE1D9D" w:rsidRDefault="00EE1D9D">
            <w:r>
              <w:t>Resolution</w:t>
            </w:r>
          </w:p>
        </w:tc>
        <w:tc>
          <w:tcPr>
            <w:tcW w:w="3871" w:type="dxa"/>
          </w:tcPr>
          <w:p w14:paraId="1ED6BBCE" w14:textId="45BA9E22" w:rsidR="00EE1D9D" w:rsidRDefault="00EE1D9D">
            <w:r>
              <w:t xml:space="preserve">Sense of </w:t>
            </w:r>
            <w:r w:rsidR="00B56C37">
              <w:t>inquiry</w:t>
            </w:r>
          </w:p>
          <w:p w14:paraId="2EEF8A4E" w14:textId="77777777" w:rsidR="00EE1D9D" w:rsidRDefault="00EE1D9D">
            <w:r>
              <w:t>Information exchange</w:t>
            </w:r>
          </w:p>
          <w:p w14:paraId="36999C37" w14:textId="77777777" w:rsidR="00EE1D9D" w:rsidRDefault="00EE1D9D">
            <w:r>
              <w:t>Connecting Ideas</w:t>
            </w:r>
          </w:p>
          <w:p w14:paraId="3E0AC791" w14:textId="77777777" w:rsidR="00EE1D9D" w:rsidRDefault="00EE1D9D">
            <w:r>
              <w:t>Applying new ideas</w:t>
            </w:r>
          </w:p>
        </w:tc>
        <w:tc>
          <w:tcPr>
            <w:tcW w:w="3420" w:type="dxa"/>
          </w:tcPr>
          <w:p w14:paraId="3E96DA7F" w14:textId="77777777" w:rsidR="00EE1D9D" w:rsidRDefault="00A82DD5">
            <w:r>
              <w:t>Canvas modules</w:t>
            </w:r>
          </w:p>
          <w:p w14:paraId="28E2A514" w14:textId="77777777" w:rsidR="00A82DD5" w:rsidRDefault="00A82DD5">
            <w:r>
              <w:t>Canvas studio videos</w:t>
            </w:r>
          </w:p>
          <w:p w14:paraId="0A30B8B8" w14:textId="77777777" w:rsidR="00F91AD2" w:rsidRDefault="00F91AD2">
            <w:r>
              <w:t>Zoom recording</w:t>
            </w:r>
          </w:p>
          <w:p w14:paraId="3C49054A" w14:textId="1FC2CF44" w:rsidR="00114E8A" w:rsidRDefault="00114E8A">
            <w:proofErr w:type="spellStart"/>
            <w:r>
              <w:t>Panopto</w:t>
            </w:r>
            <w:proofErr w:type="spellEnd"/>
            <w:r w:rsidR="00164D48">
              <w:t xml:space="preserve"> videos</w:t>
            </w:r>
          </w:p>
        </w:tc>
      </w:tr>
      <w:tr w:rsidR="00E47D73" w14:paraId="7E1839D0" w14:textId="77777777" w:rsidTr="00E47D73">
        <w:tc>
          <w:tcPr>
            <w:tcW w:w="3865" w:type="dxa"/>
          </w:tcPr>
          <w:p w14:paraId="2977FBA0" w14:textId="7D2B4A79" w:rsidR="00E47D73" w:rsidRDefault="00EE1D9D">
            <w:r>
              <w:t>Teaching Presence</w:t>
            </w:r>
          </w:p>
          <w:p w14:paraId="08551BE7" w14:textId="77777777" w:rsidR="00E47D73" w:rsidRDefault="00E47D73"/>
          <w:p w14:paraId="7A91BB97" w14:textId="7DAFEBF8" w:rsidR="00E47D73" w:rsidRDefault="00E47D73">
            <w:r>
              <w:t xml:space="preserve">How responsive is the course design and facilitation </w:t>
            </w:r>
            <w:bookmarkStart w:id="0" w:name="_GoBack"/>
            <w:bookmarkEnd w:id="0"/>
            <w:r>
              <w:t>to students’ needs?</w:t>
            </w:r>
          </w:p>
        </w:tc>
        <w:tc>
          <w:tcPr>
            <w:tcW w:w="2609" w:type="dxa"/>
          </w:tcPr>
          <w:p w14:paraId="43D687BE" w14:textId="77777777" w:rsidR="00EE1D9D" w:rsidRDefault="00EE1D9D">
            <w:r>
              <w:t>Design and organization</w:t>
            </w:r>
          </w:p>
          <w:p w14:paraId="18224F7B" w14:textId="77777777" w:rsidR="00EE1D9D" w:rsidRDefault="00EE1D9D">
            <w:r>
              <w:t>Facilitating discourse</w:t>
            </w:r>
          </w:p>
          <w:p w14:paraId="774FD1C9" w14:textId="77777777" w:rsidR="00EE1D9D" w:rsidRDefault="00EE1D9D">
            <w:r>
              <w:t>Direct instruction</w:t>
            </w:r>
          </w:p>
        </w:tc>
        <w:tc>
          <w:tcPr>
            <w:tcW w:w="3871" w:type="dxa"/>
          </w:tcPr>
          <w:p w14:paraId="4C2FFD63" w14:textId="77777777" w:rsidR="00EE1D9D" w:rsidRDefault="00EE1D9D">
            <w:r>
              <w:t>Setting curriculum and methods</w:t>
            </w:r>
          </w:p>
          <w:p w14:paraId="6818920F" w14:textId="77777777" w:rsidR="00EE1D9D" w:rsidRDefault="00EE1D9D">
            <w:r>
              <w:t>Shaping constructive exchange</w:t>
            </w:r>
          </w:p>
          <w:p w14:paraId="11A83426" w14:textId="77777777" w:rsidR="00EE1D9D" w:rsidRDefault="00EE1D9D">
            <w:r>
              <w:t>Focusing and resolving issues</w:t>
            </w:r>
          </w:p>
        </w:tc>
        <w:tc>
          <w:tcPr>
            <w:tcW w:w="3420" w:type="dxa"/>
          </w:tcPr>
          <w:p w14:paraId="7CE56274" w14:textId="77777777" w:rsidR="00EE1D9D" w:rsidRDefault="00A82DD5">
            <w:r>
              <w:t>Canvas modules</w:t>
            </w:r>
          </w:p>
          <w:p w14:paraId="3C13408B" w14:textId="77777777" w:rsidR="00A82DD5" w:rsidRDefault="00A82DD5">
            <w:r>
              <w:t>Canvas studio videos</w:t>
            </w:r>
          </w:p>
          <w:p w14:paraId="32C9C660" w14:textId="0F961F0D" w:rsidR="00114E8A" w:rsidRDefault="00114E8A">
            <w:proofErr w:type="spellStart"/>
            <w:r>
              <w:t>Panopto</w:t>
            </w:r>
            <w:proofErr w:type="spellEnd"/>
            <w:r w:rsidR="00164D48">
              <w:t xml:space="preserve"> videos</w:t>
            </w:r>
          </w:p>
          <w:p w14:paraId="499FD95B" w14:textId="77777777" w:rsidR="000544F9" w:rsidRDefault="000544F9">
            <w:r>
              <w:t>Canvas rubrics</w:t>
            </w:r>
          </w:p>
          <w:p w14:paraId="06FEF561" w14:textId="1A825B04" w:rsidR="000544F9" w:rsidRDefault="000544F9">
            <w:r>
              <w:t>Canvas assignment comments</w:t>
            </w:r>
          </w:p>
        </w:tc>
      </w:tr>
    </w:tbl>
    <w:p w14:paraId="1E0D94D2" w14:textId="5B6B0FFF" w:rsidR="000544F9" w:rsidRDefault="00EE1D9D">
      <w:r w:rsidRPr="00DC273C">
        <w:rPr>
          <w:sz w:val="21"/>
        </w:rPr>
        <w:t xml:space="preserve">Adapted from: </w:t>
      </w:r>
      <w:proofErr w:type="spellStart"/>
      <w:r w:rsidRPr="00DC273C">
        <w:rPr>
          <w:sz w:val="21"/>
        </w:rPr>
        <w:t>Akyol</w:t>
      </w:r>
      <w:proofErr w:type="spellEnd"/>
      <w:r w:rsidRPr="00DC273C">
        <w:rPr>
          <w:sz w:val="21"/>
        </w:rPr>
        <w:t>, Z., &amp; Garrison, D. (2008). The development of a community of inquiry over time in an online course: Understanding the progression and integration of social, cognitive and teaching presence. </w:t>
      </w:r>
      <w:r w:rsidRPr="00DC273C">
        <w:rPr>
          <w:i/>
          <w:iCs/>
          <w:sz w:val="21"/>
        </w:rPr>
        <w:t>Journal of Asynchronous Learning Networks</w:t>
      </w:r>
      <w:r w:rsidRPr="00DC273C">
        <w:rPr>
          <w:sz w:val="21"/>
        </w:rPr>
        <w:t>, 12, 3–22. http://dx.doi.org/10.24059/olj.v12i3.72</w:t>
      </w:r>
    </w:p>
    <w:sectPr w:rsidR="000544F9" w:rsidSect="003230C9">
      <w:headerReference w:type="default" r:id="rId7"/>
      <w:footerReference w:type="default" r:id="rId8"/>
      <w:pgSz w:w="15840" w:h="12240" w:orient="landscape"/>
      <w:pgMar w:top="720" w:right="720" w:bottom="720" w:left="720" w:header="720" w:footer="4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BB10B" w14:textId="77777777" w:rsidR="0041110D" w:rsidRDefault="0041110D" w:rsidP="00EE1D9D">
      <w:r>
        <w:separator/>
      </w:r>
    </w:p>
  </w:endnote>
  <w:endnote w:type="continuationSeparator" w:id="0">
    <w:p w14:paraId="1452E562" w14:textId="77777777" w:rsidR="0041110D" w:rsidRDefault="0041110D" w:rsidP="00EE1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C4D22" w14:textId="77777777" w:rsidR="00A82DD5" w:rsidRDefault="00A82DD5" w:rsidP="00A82DD5">
    <w:pPr>
      <w:pStyle w:val="Footer"/>
      <w:jc w:val="center"/>
    </w:pPr>
    <w:r>
      <w:rPr>
        <w:noProof/>
      </w:rPr>
      <w:drawing>
        <wp:inline distT="0" distB="0" distL="0" distR="0" wp14:anchorId="12966950" wp14:editId="2F52D4F1">
          <wp:extent cx="3942065" cy="469255"/>
          <wp:effectExtent l="0" t="0" r="0" b="0"/>
          <wp:docPr id="1" name="Picture 1" descr="/Users/jaosteen/Pictures/Pictures/Pictures/Ayers-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jaosteen/Pictures/Pictures/Pictures/Ayers-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8389" cy="474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</w:t>
    </w:r>
    <w:r>
      <w:rPr>
        <w:noProof/>
      </w:rPr>
      <w:drawing>
        <wp:inline distT="0" distB="0" distL="0" distR="0" wp14:anchorId="17BFE1D8" wp14:editId="3747C91A">
          <wp:extent cx="3273986" cy="487189"/>
          <wp:effectExtent l="0" t="0" r="3175" b="0"/>
          <wp:docPr id="2" name="Picture 2" descr="/Users/jaosteen/Pictures/Pictures/Pictures/lipscomb co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jaosteen/Pictures/Pictures/Pictures/lipscomb coe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610" cy="494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B5C63" w14:textId="77777777" w:rsidR="0041110D" w:rsidRDefault="0041110D" w:rsidP="00EE1D9D">
      <w:r>
        <w:separator/>
      </w:r>
    </w:p>
  </w:footnote>
  <w:footnote w:type="continuationSeparator" w:id="0">
    <w:p w14:paraId="12EA700C" w14:textId="77777777" w:rsidR="0041110D" w:rsidRDefault="0041110D" w:rsidP="00EE1D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31A99" w14:textId="77777777" w:rsidR="00EE1D9D" w:rsidRPr="00EE1D9D" w:rsidRDefault="00EE1D9D" w:rsidP="00EE1D9D">
    <w:pPr>
      <w:pStyle w:val="Header"/>
      <w:jc w:val="center"/>
      <w:rPr>
        <w:sz w:val="28"/>
      </w:rPr>
    </w:pPr>
    <w:r w:rsidRPr="00EE1D9D">
      <w:rPr>
        <w:sz w:val="28"/>
      </w:rPr>
      <w:t>Effective Online Teaching and Learning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FB5273"/>
    <w:multiLevelType w:val="hybridMultilevel"/>
    <w:tmpl w:val="8F2AB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9D"/>
    <w:rsid w:val="000544F9"/>
    <w:rsid w:val="00114E8A"/>
    <w:rsid w:val="00164D48"/>
    <w:rsid w:val="00236B62"/>
    <w:rsid w:val="00253E09"/>
    <w:rsid w:val="002C35E3"/>
    <w:rsid w:val="00317475"/>
    <w:rsid w:val="003230C9"/>
    <w:rsid w:val="0041110D"/>
    <w:rsid w:val="007915AD"/>
    <w:rsid w:val="008A52B8"/>
    <w:rsid w:val="00930E84"/>
    <w:rsid w:val="00946CB8"/>
    <w:rsid w:val="00A5296C"/>
    <w:rsid w:val="00A82DD5"/>
    <w:rsid w:val="00B56C37"/>
    <w:rsid w:val="00DC273C"/>
    <w:rsid w:val="00E47D73"/>
    <w:rsid w:val="00ED6831"/>
    <w:rsid w:val="00EE1D9D"/>
    <w:rsid w:val="00F9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86F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qFormat/>
    <w:rsid w:val="00ED6831"/>
    <w:pPr>
      <w:spacing w:line="480" w:lineRule="auto"/>
    </w:pPr>
    <w:rPr>
      <w:rFonts w:ascii="Times New Roman" w:eastAsia="Times New Roman" w:hAnsi="Times New Roman" w:cs="Times New Roman"/>
      <w:lang w:val="en"/>
    </w:rPr>
  </w:style>
  <w:style w:type="paragraph" w:styleId="Header">
    <w:name w:val="header"/>
    <w:basedOn w:val="Normal"/>
    <w:link w:val="HeaderChar"/>
    <w:uiPriority w:val="99"/>
    <w:unhideWhenUsed/>
    <w:rsid w:val="00EE1D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D9D"/>
  </w:style>
  <w:style w:type="paragraph" w:styleId="Footer">
    <w:name w:val="footer"/>
    <w:basedOn w:val="Normal"/>
    <w:link w:val="FooterChar"/>
    <w:uiPriority w:val="99"/>
    <w:unhideWhenUsed/>
    <w:rsid w:val="00EE1D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D9D"/>
  </w:style>
  <w:style w:type="table" w:styleId="TableGrid">
    <w:name w:val="Table Grid"/>
    <w:basedOn w:val="TableNormal"/>
    <w:uiPriority w:val="39"/>
    <w:rsid w:val="00EE1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7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9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Ayers Institute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Osteen</dc:creator>
  <cp:keywords/>
  <dc:description/>
  <cp:lastModifiedBy>Julia Osteen</cp:lastModifiedBy>
  <cp:revision>3</cp:revision>
  <cp:lastPrinted>2020-03-11T17:31:00Z</cp:lastPrinted>
  <dcterms:created xsi:type="dcterms:W3CDTF">2020-03-13T13:04:00Z</dcterms:created>
  <dcterms:modified xsi:type="dcterms:W3CDTF">2020-03-13T13:05:00Z</dcterms:modified>
</cp:coreProperties>
</file>