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18E2" w:rsidRPr="00074CC3" w:rsidRDefault="00375655">
      <w:pPr>
        <w:spacing w:line="240" w:lineRule="auto"/>
        <w:jc w:val="center"/>
        <w:rPr>
          <w:rFonts w:ascii="Arial" w:hAnsi="Arial" w:cs="Arial"/>
        </w:rPr>
      </w:pPr>
      <w:r w:rsidRPr="00074CC3">
        <w:rPr>
          <w:rFonts w:ascii="Arial" w:eastAsia="Arial" w:hAnsi="Arial" w:cs="Arial"/>
          <w:b/>
        </w:rPr>
        <w:t>Common Core State Standards for English Language Arts: K-12 Close Reading Task</w:t>
      </w:r>
    </w:p>
    <w:tbl>
      <w:tblPr>
        <w:tblW w:w="12970" w:type="dxa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20"/>
        <w:gridCol w:w="8550"/>
      </w:tblGrid>
      <w:tr w:rsidR="00375655" w:rsidRPr="00074CC3" w:rsidTr="00B24CBC">
        <w:trPr>
          <w:trHeight w:val="540"/>
        </w:trPr>
        <w:tc>
          <w:tcPr>
            <w:tcW w:w="12970" w:type="dxa"/>
            <w:gridSpan w:val="2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Text grade band placement:</w:t>
            </w:r>
          </w:p>
          <w:p w:rsidR="00375655" w:rsidRPr="00074CC3" w:rsidRDefault="00375655" w:rsidP="00074C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9-12</w:t>
            </w:r>
            <w:bookmarkStart w:id="0" w:name="_GoBack"/>
            <w:bookmarkEnd w:id="0"/>
          </w:p>
        </w:tc>
      </w:tr>
      <w:tr w:rsidR="001618E2" w:rsidRPr="00074CC3" w:rsidTr="00375655">
        <w:trPr>
          <w:trHeight w:val="300"/>
        </w:trPr>
        <w:tc>
          <w:tcPr>
            <w:tcW w:w="4420" w:type="dxa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1618E2" w:rsidRPr="00074CC3" w:rsidRDefault="00375655">
            <w:pPr>
              <w:spacing w:after="0" w:line="30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Text</w:t>
            </w:r>
          </w:p>
        </w:tc>
        <w:tc>
          <w:tcPr>
            <w:tcW w:w="8550" w:type="dxa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1618E2" w:rsidRPr="00074CC3" w:rsidRDefault="00375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Text Complexity Analysis</w:t>
            </w:r>
          </w:p>
        </w:tc>
      </w:tr>
      <w:tr w:rsidR="00375655" w:rsidRPr="00074CC3" w:rsidTr="00375655">
        <w:trPr>
          <w:trHeight w:val="1020"/>
        </w:trPr>
        <w:tc>
          <w:tcPr>
            <w:tcW w:w="4420" w:type="dxa"/>
            <w:vMerge w:val="restart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 xml:space="preserve">Title: </w:t>
            </w:r>
            <w:r w:rsidR="00074CC3" w:rsidRPr="00074CC3">
              <w:rPr>
                <w:rFonts w:ascii="Arial" w:eastAsia="Arial" w:hAnsi="Arial" w:cs="Arial"/>
                <w:b/>
              </w:rPr>
              <w:t>“</w:t>
            </w:r>
            <w:r w:rsidRPr="00074CC3">
              <w:rPr>
                <w:rFonts w:ascii="Arial" w:eastAsia="Arial" w:hAnsi="Arial" w:cs="Arial"/>
              </w:rPr>
              <w:t>Untangling the Roots of Cancer</w:t>
            </w:r>
            <w:r w:rsidR="00074CC3" w:rsidRPr="00074CC3">
              <w:rPr>
                <w:rFonts w:ascii="Arial" w:eastAsia="Arial" w:hAnsi="Arial" w:cs="Arial"/>
              </w:rPr>
              <w:t>”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 xml:space="preserve">Author: </w:t>
            </w:r>
            <w:r w:rsidRPr="00074CC3">
              <w:rPr>
                <w:rFonts w:ascii="Arial" w:eastAsia="Arial" w:hAnsi="Arial" w:cs="Arial"/>
              </w:rPr>
              <w:t>W.</w:t>
            </w:r>
            <w:r w:rsidRPr="00074CC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074CC3">
              <w:rPr>
                <w:rFonts w:ascii="Arial" w:eastAsia="Arial" w:hAnsi="Arial" w:cs="Arial"/>
              </w:rPr>
              <w:t>Wayt</w:t>
            </w:r>
            <w:proofErr w:type="spellEnd"/>
            <w:r w:rsidRPr="00074CC3">
              <w:rPr>
                <w:rFonts w:ascii="Arial" w:eastAsia="Arial" w:hAnsi="Arial" w:cs="Arial"/>
              </w:rPr>
              <w:t xml:space="preserve"> Gibbs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 xml:space="preserve">Citation/Publication info: </w:t>
            </w:r>
          </w:p>
          <w:p w:rsidR="00375655" w:rsidRPr="00074CC3" w:rsidRDefault="00375655" w:rsidP="00074CC3">
            <w:pPr>
              <w:spacing w:line="240" w:lineRule="auto"/>
              <w:ind w:left="720" w:hanging="719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 xml:space="preserve">Gibbs, </w:t>
            </w:r>
            <w:proofErr w:type="spellStart"/>
            <w:r w:rsidRPr="00074CC3">
              <w:rPr>
                <w:rFonts w:ascii="Arial" w:eastAsia="Arial" w:hAnsi="Arial" w:cs="Arial"/>
              </w:rPr>
              <w:t>W.Wayt</w:t>
            </w:r>
            <w:proofErr w:type="spellEnd"/>
            <w:r w:rsidRPr="00074CC3">
              <w:rPr>
                <w:rFonts w:ascii="Arial" w:eastAsia="Arial" w:hAnsi="Arial" w:cs="Arial"/>
              </w:rPr>
              <w:t xml:space="preserve">. "Untangling The Roots of Cancer." </w:t>
            </w:r>
            <w:r w:rsidRPr="00074CC3">
              <w:rPr>
                <w:rFonts w:ascii="Arial" w:eastAsia="Arial" w:hAnsi="Arial" w:cs="Arial"/>
                <w:i/>
              </w:rPr>
              <w:t>Scientific American</w:t>
            </w:r>
            <w:r w:rsidRPr="00074CC3">
              <w:rPr>
                <w:rFonts w:ascii="Arial" w:eastAsia="Arial" w:hAnsi="Arial" w:cs="Arial"/>
              </w:rPr>
              <w:t xml:space="preserve"> October 2004: 2-10.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Link</w:t>
            </w:r>
            <w:r w:rsidR="00074CC3" w:rsidRPr="00074CC3">
              <w:rPr>
                <w:rFonts w:ascii="Arial" w:eastAsia="Arial" w:hAnsi="Arial" w:cs="Arial"/>
                <w:b/>
              </w:rPr>
              <w:t>:</w:t>
            </w:r>
          </w:p>
          <w:p w:rsidR="00375655" w:rsidRPr="00074CC3" w:rsidRDefault="004B3ECB">
            <w:pPr>
              <w:spacing w:after="0" w:line="240" w:lineRule="auto"/>
              <w:rPr>
                <w:rFonts w:ascii="Arial" w:hAnsi="Arial" w:cs="Arial"/>
              </w:rPr>
            </w:pPr>
            <w:hyperlink r:id="rId5">
              <w:r w:rsidR="00375655" w:rsidRPr="00074CC3">
                <w:rPr>
                  <w:rFonts w:ascii="Arial" w:eastAsia="Arial" w:hAnsi="Arial" w:cs="Arial"/>
                  <w:color w:val="0000FF"/>
                  <w:u w:val="single"/>
                </w:rPr>
                <w:t>http://www.ucl.ac.uk/~regonse/Roots_of_Cancer.pdf</w:t>
              </w:r>
            </w:hyperlink>
            <w:hyperlink r:id="rId6"/>
          </w:p>
        </w:tc>
        <w:tc>
          <w:tcPr>
            <w:tcW w:w="8550" w:type="dxa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 xml:space="preserve">Quantitative: 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Lexile: 1310</w:t>
            </w:r>
            <w:r w:rsidR="002D7A69">
              <w:rPr>
                <w:rFonts w:ascii="Arial" w:eastAsia="Arial" w:hAnsi="Arial" w:cs="Arial"/>
              </w:rPr>
              <w:t>L</w:t>
            </w:r>
          </w:p>
        </w:tc>
      </w:tr>
      <w:tr w:rsidR="00375655" w:rsidRPr="00074CC3" w:rsidTr="00375655">
        <w:trPr>
          <w:trHeight w:val="1240"/>
        </w:trPr>
        <w:tc>
          <w:tcPr>
            <w:tcW w:w="4420" w:type="dxa"/>
            <w:vMerge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before="100" w:after="10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8550" w:type="dxa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Qualitative: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Meaning/Purpose: Purpose is implied but easy to determine from the context.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Text Structure: Connections between ideas are deeper. Text features help the reader to navigate. Graphics are complex but may be essential to understanding parts of the text.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Language Features: Language is dense and complex. Contains some complex and domain-specific vocabulary. Many compound sentences are present in the text.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 xml:space="preserve">Knowledge Demands: Moderate to extensive levels of discipline-specific content knowledge is needed to understand the text. </w:t>
            </w:r>
          </w:p>
        </w:tc>
      </w:tr>
      <w:tr w:rsidR="00375655" w:rsidRPr="00074CC3" w:rsidTr="00375655">
        <w:trPr>
          <w:trHeight w:val="2100"/>
        </w:trPr>
        <w:tc>
          <w:tcPr>
            <w:tcW w:w="4420" w:type="dxa"/>
            <w:vMerge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before="100" w:after="10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8550" w:type="dxa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 xml:space="preserve">Reader and Task: 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 xml:space="preserve">Students may have difficulty with domain-specific vocabulary and tier 2 words. </w:t>
            </w:r>
          </w:p>
          <w:p w:rsidR="00375655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</w:p>
          <w:p w:rsidR="00375655" w:rsidRPr="00074CC3" w:rsidRDefault="0037565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74CC3">
              <w:rPr>
                <w:rFonts w:ascii="Arial" w:eastAsia="Arial" w:hAnsi="Arial" w:cs="Arial"/>
              </w:rPr>
              <w:t>Students may have limited understanding/knowledge of cancer and its causes, DNA structure, mutations, and the effect of mutations on a cellular level.</w:t>
            </w:r>
          </w:p>
        </w:tc>
      </w:tr>
      <w:tr w:rsidR="00375655" w:rsidRPr="00074CC3" w:rsidTr="003962E7">
        <w:tc>
          <w:tcPr>
            <w:tcW w:w="12970" w:type="dxa"/>
            <w:gridSpan w:val="2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 w:rsidP="00375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ELA</w:t>
            </w:r>
            <w:r w:rsidR="00074CC3" w:rsidRPr="00074CC3">
              <w:rPr>
                <w:rFonts w:ascii="Arial" w:eastAsia="Arial" w:hAnsi="Arial" w:cs="Arial"/>
                <w:b/>
              </w:rPr>
              <w:t>/Literacy</w:t>
            </w:r>
            <w:r w:rsidRPr="00074CC3">
              <w:rPr>
                <w:rFonts w:ascii="Arial" w:eastAsia="Arial" w:hAnsi="Arial" w:cs="Arial"/>
                <w:b/>
              </w:rPr>
              <w:t xml:space="preserve"> Common Core Standards addressed by task*</w:t>
            </w:r>
          </w:p>
        </w:tc>
      </w:tr>
      <w:tr w:rsidR="00375655" w:rsidRPr="00074CC3" w:rsidTr="00BE57F1">
        <w:tc>
          <w:tcPr>
            <w:tcW w:w="12970" w:type="dxa"/>
            <w:gridSpan w:val="2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074CC3" w:rsidRPr="00074CC3" w:rsidRDefault="004B3ECB" w:rsidP="00074CC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7" w:history="1">
              <w:r w:rsidR="00074CC3" w:rsidRPr="00074CC3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CCSS.ELA-Literacy.CCRA.R.1</w:t>
              </w:r>
            </w:hyperlink>
            <w:r w:rsidR="00074CC3" w:rsidRPr="00074CC3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074CC3" w:rsidRPr="00074CC3">
              <w:rPr>
                <w:rFonts w:ascii="Arial" w:hAnsi="Arial" w:cs="Arial"/>
                <w:color w:val="3B3B3A"/>
              </w:rPr>
              <w:t>Read closely to determine what the text says explicitly and to make logical inferences from it; cite specific textual evidence when writing or speaking to support conclusions drawn from the text.</w:t>
            </w:r>
          </w:p>
          <w:p w:rsidR="00074CC3" w:rsidRPr="00074CC3" w:rsidRDefault="004B3ECB" w:rsidP="00074CC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8" w:history="1">
              <w:r w:rsidR="00074CC3" w:rsidRPr="00074CC3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CCSS.ELA-Literacy.CCRA.R.4</w:t>
              </w:r>
            </w:hyperlink>
            <w:r w:rsidR="00074CC3" w:rsidRPr="00074CC3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074CC3" w:rsidRPr="00074CC3">
              <w:rPr>
                <w:rFonts w:ascii="Arial" w:hAnsi="Arial" w:cs="Arial"/>
                <w:color w:val="3B3B3A"/>
              </w:rPr>
              <w:t>Interpret words and phrases as they are used in a text, including determining technical, connotative, and figurative meanings, and analyze how specific word choices shape meaning or tone.</w:t>
            </w:r>
          </w:p>
          <w:p w:rsidR="00074CC3" w:rsidRPr="00074CC3" w:rsidRDefault="004B3ECB" w:rsidP="00074CC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9" w:history="1">
              <w:r w:rsidR="00074CC3" w:rsidRPr="00074CC3">
                <w:rPr>
                  <w:rStyle w:val="Hyperlink"/>
                  <w:rFonts w:ascii="Arial" w:hAnsi="Arial" w:cs="Arial"/>
                  <w:color w:val="8A2003"/>
                  <w:u w:val="none"/>
                </w:rPr>
                <w:t>CCSS.ELA-Literacy.CCRA.R.6</w:t>
              </w:r>
            </w:hyperlink>
            <w:r w:rsidR="00074CC3" w:rsidRPr="00074CC3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074CC3" w:rsidRPr="00074CC3">
              <w:rPr>
                <w:rFonts w:ascii="Arial" w:hAnsi="Arial" w:cs="Arial"/>
                <w:color w:val="3B3B3A"/>
              </w:rPr>
              <w:t>Assess how point of view or purpose shapes the content and style of a text.</w:t>
            </w:r>
          </w:p>
          <w:p w:rsidR="00074CC3" w:rsidRPr="00074CC3" w:rsidRDefault="004B3ECB" w:rsidP="00074C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0" w:history="1">
              <w:r w:rsidR="00074CC3" w:rsidRPr="00074CC3">
                <w:rPr>
                  <w:rFonts w:ascii="Arial" w:eastAsia="Times New Roman" w:hAnsi="Arial" w:cs="Arial"/>
                  <w:color w:val="8A2003"/>
                </w:rPr>
                <w:t>CCSS.ELA-Literacy.CCRA.R.8</w:t>
              </w:r>
            </w:hyperlink>
            <w:r w:rsidR="00074CC3" w:rsidRPr="00074CC3">
              <w:rPr>
                <w:rFonts w:ascii="Arial" w:eastAsia="Times New Roman" w:hAnsi="Arial" w:cs="Arial"/>
                <w:color w:val="3B3B3A"/>
              </w:rPr>
              <w:t> Delineate and evaluate the argument and specific claims in a text, including the validity of the reasoning as well as the relevance and sufficiency of the evidence.</w:t>
            </w:r>
          </w:p>
          <w:p w:rsidR="00074CC3" w:rsidRPr="00074CC3" w:rsidRDefault="004B3ECB" w:rsidP="00074C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1" w:history="1">
              <w:r w:rsidR="00074CC3" w:rsidRPr="00074CC3">
                <w:rPr>
                  <w:rFonts w:ascii="Arial" w:eastAsia="Times New Roman" w:hAnsi="Arial" w:cs="Arial"/>
                  <w:color w:val="8A2003"/>
                </w:rPr>
                <w:t>CCSS.ELA-Literacy.CCRA.R.9</w:t>
              </w:r>
            </w:hyperlink>
            <w:r w:rsidR="00074CC3" w:rsidRPr="00074CC3">
              <w:rPr>
                <w:rFonts w:ascii="Arial" w:eastAsia="Times New Roman" w:hAnsi="Arial" w:cs="Arial"/>
                <w:color w:val="3B3B3A"/>
              </w:rPr>
              <w:t> Analyze how two or more texts address similar themes or topics in order to build knowledge or to compare the approaches the authors take.</w:t>
            </w:r>
          </w:p>
          <w:p w:rsidR="00074CC3" w:rsidRPr="00074CC3" w:rsidRDefault="004B3ECB" w:rsidP="00074C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2" w:history="1">
              <w:r w:rsidR="00074CC3" w:rsidRPr="00074CC3">
                <w:rPr>
                  <w:rFonts w:ascii="Arial" w:eastAsia="Times New Roman" w:hAnsi="Arial" w:cs="Arial"/>
                  <w:color w:val="8A2003"/>
                </w:rPr>
                <w:t>CCSS.ELA-Literacy.CCRA.W.1</w:t>
              </w:r>
            </w:hyperlink>
            <w:r w:rsidR="00074CC3" w:rsidRPr="00074CC3">
              <w:rPr>
                <w:rFonts w:ascii="Arial" w:eastAsia="Times New Roman" w:hAnsi="Arial" w:cs="Arial"/>
                <w:color w:val="3B3B3A"/>
              </w:rPr>
              <w:t> Write arguments to support claims in an analysis of substantive topics or texts using valid reasoning and relevant and sufficient evidence.</w:t>
            </w:r>
          </w:p>
          <w:p w:rsidR="00074CC3" w:rsidRPr="00074CC3" w:rsidRDefault="004B3ECB" w:rsidP="00074CC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eastAsia="Times New Roman" w:hAnsi="Arial" w:cs="Arial"/>
                <w:color w:val="3B3B3A"/>
              </w:rPr>
            </w:pPr>
            <w:hyperlink r:id="rId13" w:history="1">
              <w:r w:rsidR="00074CC3" w:rsidRPr="00074CC3">
                <w:rPr>
                  <w:rFonts w:ascii="Arial" w:eastAsia="Times New Roman" w:hAnsi="Arial" w:cs="Arial"/>
                  <w:color w:val="8A2003"/>
                </w:rPr>
                <w:t>CCSS.ELA-Literacy.CCRA.W.7</w:t>
              </w:r>
            </w:hyperlink>
            <w:r w:rsidR="00074CC3" w:rsidRPr="00074CC3">
              <w:rPr>
                <w:rFonts w:ascii="Arial" w:eastAsia="Times New Roman" w:hAnsi="Arial" w:cs="Arial"/>
                <w:color w:val="3B3B3A"/>
              </w:rPr>
              <w:t> Conduct short as well as more sustained research projects based on focused questions, demonstrating understanding of the subject under investigation.</w:t>
            </w:r>
          </w:p>
          <w:p w:rsidR="00375655" w:rsidRPr="00074CC3" w:rsidRDefault="004B3ECB" w:rsidP="00074C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  <w:hyperlink r:id="rId14" w:history="1">
              <w:r w:rsidR="00074CC3" w:rsidRPr="00074CC3">
                <w:rPr>
                  <w:rFonts w:ascii="Arial" w:eastAsia="Times New Roman" w:hAnsi="Arial" w:cs="Arial"/>
                  <w:color w:val="8A2003"/>
                </w:rPr>
                <w:t>CCSS.ELA-Literacy.CCRA.W.9</w:t>
              </w:r>
            </w:hyperlink>
            <w:r w:rsidR="00074CC3" w:rsidRPr="00074CC3">
              <w:rPr>
                <w:rFonts w:ascii="Arial" w:eastAsia="Times New Roman" w:hAnsi="Arial" w:cs="Arial"/>
                <w:color w:val="3B3B3A"/>
              </w:rPr>
              <w:t> Draw evidence from literary or informational texts to support analysis, reflection, and research.</w:t>
            </w:r>
          </w:p>
        </w:tc>
      </w:tr>
      <w:tr w:rsidR="00375655" w:rsidRPr="00074CC3" w:rsidTr="00303A6A">
        <w:tc>
          <w:tcPr>
            <w:tcW w:w="12970" w:type="dxa"/>
            <w:gridSpan w:val="2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 w:rsidP="00375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What key insights should students take from this text?</w:t>
            </w:r>
          </w:p>
        </w:tc>
      </w:tr>
      <w:tr w:rsidR="00375655" w:rsidRPr="00074CC3" w:rsidTr="00375655">
        <w:trPr>
          <w:trHeight w:val="1640"/>
        </w:trPr>
        <w:tc>
          <w:tcPr>
            <w:tcW w:w="12970" w:type="dxa"/>
            <w:gridSpan w:val="2"/>
            <w:shd w:val="clear" w:color="auto" w:fill="FFFFFF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Environmental factors can stimulate cancer cells to start dividing but are not the root cause of cancer.</w:t>
            </w:r>
          </w:p>
          <w:p w:rsidR="00375655" w:rsidRPr="00074CC3" w:rsidRDefault="00375655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Cancer is due to cumulative mutations that alter specific locations in a cell’s DNA and change the proteins in cancer-related genes at those locations.</w:t>
            </w:r>
          </w:p>
          <w:p w:rsidR="00375655" w:rsidRPr="00074CC3" w:rsidRDefault="00375655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The two kinds of cancer genes, suppressors and oncogenes, work in opposite roles in the human body to restrain or promote cell division.</w:t>
            </w:r>
          </w:p>
          <w:p w:rsidR="00375655" w:rsidRPr="00074CC3" w:rsidRDefault="00375655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Mutations cause oncogenes to lock in an active state, thus continually dividing and turning malignant.</w:t>
            </w:r>
          </w:p>
          <w:p w:rsidR="00375655" w:rsidRPr="00074CC3" w:rsidRDefault="00375655" w:rsidP="00375655">
            <w:pPr>
              <w:numPr>
                <w:ilvl w:val="0"/>
                <w:numId w:val="2"/>
              </w:numPr>
              <w:spacing w:before="100" w:after="100" w:line="240" w:lineRule="auto"/>
              <w:ind w:hanging="359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Carcinogens can cause mutations that result in cancer</w:t>
            </w:r>
          </w:p>
        </w:tc>
      </w:tr>
      <w:tr w:rsidR="00375655" w:rsidRPr="00074CC3" w:rsidTr="00E22DDD">
        <w:tc>
          <w:tcPr>
            <w:tcW w:w="12970" w:type="dxa"/>
            <w:gridSpan w:val="2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375655" w:rsidRPr="00074CC3" w:rsidRDefault="00375655" w:rsidP="00375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Text-Dependent Questions</w:t>
            </w:r>
          </w:p>
        </w:tc>
      </w:tr>
      <w:tr w:rsidR="00375655" w:rsidRPr="00074CC3" w:rsidTr="00CB7D99">
        <w:trPr>
          <w:trHeight w:val="2140"/>
        </w:trPr>
        <w:tc>
          <w:tcPr>
            <w:tcW w:w="12970" w:type="dxa"/>
            <w:gridSpan w:val="2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074CC3" w:rsidRPr="00074CC3" w:rsidRDefault="00375655" w:rsidP="00074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lastRenderedPageBreak/>
              <w:t xml:space="preserve">What is the author’s </w:t>
            </w:r>
            <w:r w:rsidR="00074CC3">
              <w:rPr>
                <w:rFonts w:ascii="Arial" w:eastAsia="Times New Roman" w:hAnsi="Arial" w:cs="Arial"/>
              </w:rPr>
              <w:t>purpose</w:t>
            </w:r>
            <w:r w:rsidRPr="00074CC3">
              <w:rPr>
                <w:rFonts w:ascii="Arial" w:eastAsia="Times New Roman" w:hAnsi="Arial" w:cs="Arial"/>
              </w:rPr>
              <w:t xml:space="preserve"> in the</w:t>
            </w:r>
            <w:r w:rsidR="00074CC3">
              <w:rPr>
                <w:rFonts w:ascii="Arial" w:eastAsia="Times New Roman" w:hAnsi="Arial" w:cs="Arial"/>
              </w:rPr>
              <w:t xml:space="preserve"> article</w:t>
            </w:r>
            <w:r w:rsidRPr="00074CC3">
              <w:rPr>
                <w:rFonts w:ascii="Arial" w:eastAsia="Times New Roman" w:hAnsi="Arial" w:cs="Arial"/>
              </w:rPr>
              <w:t>?</w:t>
            </w:r>
          </w:p>
          <w:p w:rsidR="00074CC3" w:rsidRPr="00074CC3" w:rsidRDefault="00375655" w:rsidP="00074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Within your small group, come to a consensus on the meaning of the following words</w:t>
            </w:r>
            <w:r w:rsidR="00074CC3">
              <w:rPr>
                <w:rFonts w:ascii="Arial" w:eastAsia="Times New Roman" w:hAnsi="Arial" w:cs="Arial"/>
              </w:rPr>
              <w:t>:</w:t>
            </w:r>
          </w:p>
          <w:p w:rsidR="00074CC3" w:rsidRPr="00074CC3" w:rsidRDefault="00375655" w:rsidP="00074CC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Malignant</w:t>
            </w:r>
          </w:p>
          <w:p w:rsidR="00074CC3" w:rsidRPr="00074CC3" w:rsidRDefault="00375655" w:rsidP="00074CC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Carcinogens</w:t>
            </w:r>
          </w:p>
          <w:p w:rsidR="00074CC3" w:rsidRPr="00074CC3" w:rsidRDefault="00375655" w:rsidP="00074CC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Mutations</w:t>
            </w:r>
          </w:p>
          <w:p w:rsidR="00074CC3" w:rsidRPr="00074CC3" w:rsidRDefault="00375655" w:rsidP="00074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Categorize the two types of cancer genes that mutations affect. Compare the results of the activation of each type of gene.</w:t>
            </w:r>
          </w:p>
          <w:p w:rsidR="00074CC3" w:rsidRPr="00074CC3" w:rsidRDefault="00375655" w:rsidP="00074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 xml:space="preserve">In the last sentence of the text, the author uses the word axiomatic. </w:t>
            </w:r>
            <w:r w:rsidR="00074CC3">
              <w:rPr>
                <w:rFonts w:ascii="Arial" w:eastAsia="Times New Roman" w:hAnsi="Arial" w:cs="Arial"/>
              </w:rPr>
              <w:t xml:space="preserve"> </w:t>
            </w:r>
            <w:r w:rsidRPr="00074CC3">
              <w:rPr>
                <w:rFonts w:ascii="Arial" w:eastAsia="Times New Roman" w:hAnsi="Arial" w:cs="Arial"/>
              </w:rPr>
              <w:t>Explain why he may have chosen to use this word instead of a more general synonym.</w:t>
            </w:r>
          </w:p>
          <w:p w:rsidR="00074CC3" w:rsidRPr="00074CC3" w:rsidRDefault="00375655" w:rsidP="00074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>The author says, “A cause by definition, leads invariably to its effect.” If cancer is the effect, what are the causes stated by the author?</w:t>
            </w:r>
          </w:p>
          <w:p w:rsidR="00375655" w:rsidRPr="00074CC3" w:rsidRDefault="00375655" w:rsidP="004B44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 xml:space="preserve">What </w:t>
            </w:r>
            <w:r w:rsidR="004B440B">
              <w:rPr>
                <w:rFonts w:ascii="Arial" w:eastAsia="Times New Roman" w:hAnsi="Arial" w:cs="Arial"/>
              </w:rPr>
              <w:t xml:space="preserve">is </w:t>
            </w:r>
            <w:r w:rsidRPr="00074CC3">
              <w:rPr>
                <w:rFonts w:ascii="Arial" w:eastAsia="Times New Roman" w:hAnsi="Arial" w:cs="Arial"/>
              </w:rPr>
              <w:t xml:space="preserve">the author’s </w:t>
            </w:r>
            <w:r w:rsidR="004B440B">
              <w:rPr>
                <w:rFonts w:ascii="Arial" w:eastAsia="Times New Roman" w:hAnsi="Arial" w:cs="Arial"/>
              </w:rPr>
              <w:t>reasoning</w:t>
            </w:r>
            <w:r w:rsidRPr="00074CC3">
              <w:rPr>
                <w:rFonts w:ascii="Arial" w:eastAsia="Times New Roman" w:hAnsi="Arial" w:cs="Arial"/>
              </w:rPr>
              <w:t xml:space="preserve"> for shifting from the common, accepted causes of cancer to the scientific causes?</w:t>
            </w:r>
          </w:p>
        </w:tc>
      </w:tr>
      <w:tr w:rsidR="001618E2" w:rsidRPr="00074CC3" w:rsidTr="00375655">
        <w:tc>
          <w:tcPr>
            <w:tcW w:w="4420" w:type="dxa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1618E2" w:rsidRPr="00074CC3" w:rsidRDefault="00375655">
            <w:pPr>
              <w:spacing w:after="0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Writing Mode</w:t>
            </w:r>
          </w:p>
        </w:tc>
        <w:tc>
          <w:tcPr>
            <w:tcW w:w="8550" w:type="dxa"/>
            <w:shd w:val="clear" w:color="auto" w:fill="DBE5F1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1618E2" w:rsidRPr="00074CC3" w:rsidRDefault="00375655">
            <w:pPr>
              <w:spacing w:after="0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  <w:b/>
              </w:rPr>
              <w:t>Writing Prompt</w:t>
            </w:r>
          </w:p>
        </w:tc>
      </w:tr>
      <w:tr w:rsidR="001618E2" w:rsidRPr="00074CC3" w:rsidTr="00375655">
        <w:trPr>
          <w:trHeight w:val="1320"/>
        </w:trPr>
        <w:tc>
          <w:tcPr>
            <w:tcW w:w="442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074CC3" w:rsidRDefault="00074CC3" w:rsidP="00074CC3">
            <w:pPr>
              <w:spacing w:after="0" w:line="240" w:lineRule="auto"/>
              <w:rPr>
                <w:rFonts w:ascii="Arial" w:hAnsi="Arial" w:cs="Arial"/>
              </w:rPr>
            </w:pPr>
          </w:p>
          <w:p w:rsidR="001618E2" w:rsidRPr="00074CC3" w:rsidRDefault="00375655" w:rsidP="00074C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4CC3">
              <w:rPr>
                <w:rFonts w:ascii="Arial" w:eastAsia="Arial" w:hAnsi="Arial" w:cs="Arial"/>
              </w:rPr>
              <w:t>Argument</w:t>
            </w:r>
          </w:p>
        </w:tc>
        <w:tc>
          <w:tcPr>
            <w:tcW w:w="855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1618E2" w:rsidRPr="00074CC3" w:rsidRDefault="001618E2">
            <w:pPr>
              <w:spacing w:after="0" w:line="240" w:lineRule="auto"/>
              <w:rPr>
                <w:rFonts w:ascii="Arial" w:hAnsi="Arial" w:cs="Arial"/>
              </w:rPr>
            </w:pPr>
          </w:p>
          <w:p w:rsidR="001618E2" w:rsidRPr="00074CC3" w:rsidRDefault="00375655">
            <w:pPr>
              <w:spacing w:after="0" w:line="240" w:lineRule="auto"/>
              <w:rPr>
                <w:rFonts w:ascii="Arial" w:hAnsi="Arial" w:cs="Arial"/>
              </w:rPr>
            </w:pPr>
            <w:r w:rsidRPr="00074CC3">
              <w:rPr>
                <w:rFonts w:ascii="Arial" w:eastAsia="Times New Roman" w:hAnsi="Arial" w:cs="Arial"/>
              </w:rPr>
              <w:t xml:space="preserve">The author states that recent evidence challenges long-held theories of how cells turn malignant. Research and find a scientific journal article about those long-held theories. Write an argument that distinguishes the author’s claim from the opposing claim, </w:t>
            </w:r>
            <w:r w:rsidR="00074CC3">
              <w:rPr>
                <w:rFonts w:ascii="Arial" w:eastAsia="Times New Roman" w:hAnsi="Arial" w:cs="Arial"/>
              </w:rPr>
              <w:t>and evaluate which scientific argument is better supported by the evidence.  I</w:t>
            </w:r>
            <w:r w:rsidRPr="00074CC3">
              <w:rPr>
                <w:rFonts w:ascii="Arial" w:eastAsia="Times New Roman" w:hAnsi="Arial" w:cs="Arial"/>
              </w:rPr>
              <w:t>nclude reasons and evidence from both texts.</w:t>
            </w:r>
          </w:p>
          <w:p w:rsidR="001618E2" w:rsidRPr="00074CC3" w:rsidRDefault="001618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618E2" w:rsidRDefault="00375655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074CC3">
        <w:rPr>
          <w:rFonts w:ascii="Arial" w:eastAsia="Arial" w:hAnsi="Arial" w:cs="Arial"/>
          <w:sz w:val="20"/>
          <w:szCs w:val="20"/>
        </w:rPr>
        <w:t xml:space="preserve">*Because these tasks apply across multiple grades, they are aligned to the College and Career Readiness Anchor Standards (CCRA). R stands for Reading, W for Writing, SL for Speaking and Listening, and L for language. </w:t>
      </w:r>
    </w:p>
    <w:p w:rsidR="003A7B39" w:rsidRPr="00074CC3" w:rsidRDefault="003A7B39">
      <w:pPr>
        <w:spacing w:line="240" w:lineRule="auto"/>
        <w:rPr>
          <w:rFonts w:ascii="Arial" w:hAnsi="Arial" w:cs="Arial"/>
          <w:sz w:val="20"/>
          <w:szCs w:val="20"/>
        </w:rPr>
      </w:pPr>
    </w:p>
    <w:p w:rsidR="001618E2" w:rsidRPr="00074CC3" w:rsidRDefault="00375655">
      <w:pPr>
        <w:spacing w:after="0" w:line="240" w:lineRule="auto"/>
        <w:rPr>
          <w:rFonts w:ascii="Arial" w:hAnsi="Arial" w:cs="Arial"/>
        </w:rPr>
      </w:pPr>
      <w:r w:rsidRPr="00074CC3">
        <w:rPr>
          <w:rFonts w:ascii="Arial" w:eastAsia="Arial" w:hAnsi="Arial" w:cs="Arial"/>
          <w:b/>
        </w:rPr>
        <w:t>Scaffolding and support for special education students, English language learners, and struggling readers:</w:t>
      </w:r>
    </w:p>
    <w:p w:rsidR="001618E2" w:rsidRPr="0008365C" w:rsidRDefault="00375655" w:rsidP="00083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365C">
        <w:rPr>
          <w:rFonts w:ascii="Arial" w:eastAsia="Arial" w:hAnsi="Arial" w:cs="Arial"/>
        </w:rPr>
        <w:t>Pre-teach DNA structure, mutations, and the effect of mutations on a cellular level.</w:t>
      </w:r>
    </w:p>
    <w:p w:rsidR="001618E2" w:rsidRPr="0008365C" w:rsidRDefault="00375655" w:rsidP="00083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365C">
        <w:rPr>
          <w:rFonts w:ascii="Arial" w:eastAsia="Arial" w:hAnsi="Arial" w:cs="Arial"/>
        </w:rPr>
        <w:t>Pre-teach vocabulary.</w:t>
      </w:r>
    </w:p>
    <w:p w:rsidR="001618E2" w:rsidRPr="0008365C" w:rsidRDefault="00375655" w:rsidP="00083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365C">
        <w:rPr>
          <w:rFonts w:ascii="Arial" w:eastAsia="Arial" w:hAnsi="Arial" w:cs="Arial"/>
        </w:rPr>
        <w:t xml:space="preserve">Pair up </w:t>
      </w:r>
      <w:r w:rsidR="0008365C">
        <w:rPr>
          <w:rFonts w:ascii="Arial" w:eastAsia="Arial" w:hAnsi="Arial" w:cs="Arial"/>
        </w:rPr>
        <w:t xml:space="preserve">a </w:t>
      </w:r>
      <w:r w:rsidRPr="0008365C">
        <w:rPr>
          <w:rFonts w:ascii="Arial" w:eastAsia="Arial" w:hAnsi="Arial" w:cs="Arial"/>
        </w:rPr>
        <w:t>struggling reader with a partner to read and discuss the text.</w:t>
      </w:r>
    </w:p>
    <w:p w:rsidR="001618E2" w:rsidRPr="0008365C" w:rsidRDefault="00375655" w:rsidP="00083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365C">
        <w:rPr>
          <w:rFonts w:ascii="Arial" w:eastAsia="Arial" w:hAnsi="Arial" w:cs="Arial"/>
        </w:rPr>
        <w:t>Allow extra time for the reading and writing tasks.</w:t>
      </w:r>
    </w:p>
    <w:p w:rsidR="001618E2" w:rsidRPr="0008365C" w:rsidRDefault="00375655" w:rsidP="0008365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365C">
        <w:rPr>
          <w:rFonts w:ascii="Arial" w:eastAsia="Arial" w:hAnsi="Arial" w:cs="Arial"/>
        </w:rPr>
        <w:t xml:space="preserve">Allow </w:t>
      </w:r>
      <w:r w:rsidR="0008365C">
        <w:rPr>
          <w:rFonts w:ascii="Arial" w:eastAsia="Arial" w:hAnsi="Arial" w:cs="Arial"/>
        </w:rPr>
        <w:t>foreign language-English</w:t>
      </w:r>
      <w:r w:rsidRPr="0008365C">
        <w:rPr>
          <w:rFonts w:ascii="Arial" w:eastAsia="Arial" w:hAnsi="Arial" w:cs="Arial"/>
        </w:rPr>
        <w:t xml:space="preserve"> dictionary.</w:t>
      </w:r>
    </w:p>
    <w:p w:rsidR="001618E2" w:rsidRPr="00074CC3" w:rsidRDefault="001618E2">
      <w:pPr>
        <w:spacing w:after="240" w:line="240" w:lineRule="auto"/>
        <w:rPr>
          <w:rFonts w:ascii="Arial" w:hAnsi="Arial" w:cs="Arial"/>
        </w:rPr>
      </w:pPr>
    </w:p>
    <w:p w:rsidR="001618E2" w:rsidRPr="00074CC3" w:rsidRDefault="00375655">
      <w:pPr>
        <w:spacing w:after="0" w:line="240" w:lineRule="auto"/>
        <w:rPr>
          <w:rFonts w:ascii="Arial" w:hAnsi="Arial" w:cs="Arial"/>
        </w:rPr>
      </w:pPr>
      <w:r w:rsidRPr="00074CC3">
        <w:rPr>
          <w:rFonts w:ascii="Arial" w:eastAsia="Arial" w:hAnsi="Arial" w:cs="Arial"/>
          <w:b/>
        </w:rPr>
        <w:t>How this task supports the content standards for relevant subject area courses in this grade band</w:t>
      </w:r>
    </w:p>
    <w:p w:rsidR="001618E2" w:rsidRPr="00074CC3" w:rsidRDefault="0008365C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This task is r</w:t>
      </w:r>
      <w:r w:rsidR="00375655" w:rsidRPr="00074CC3">
        <w:rPr>
          <w:rFonts w:ascii="Arial" w:eastAsia="Arial" w:hAnsi="Arial" w:cs="Arial"/>
        </w:rPr>
        <w:t>elevant f</w:t>
      </w:r>
      <w:r>
        <w:rPr>
          <w:rFonts w:ascii="Arial" w:eastAsia="Arial" w:hAnsi="Arial" w:cs="Arial"/>
        </w:rPr>
        <w:t>or Biology II and/or AP Biology.</w:t>
      </w:r>
      <w:r w:rsidR="00375655" w:rsidRPr="00074CC3">
        <w:rPr>
          <w:rFonts w:ascii="Arial" w:eastAsia="Arial" w:hAnsi="Arial" w:cs="Arial"/>
        </w:rPr>
        <w:t xml:space="preserve"> The task will address standards pertaining to mutations.</w:t>
      </w:r>
    </w:p>
    <w:p w:rsidR="001618E2" w:rsidRPr="00074CC3" w:rsidRDefault="001618E2">
      <w:pPr>
        <w:spacing w:after="0" w:line="240" w:lineRule="auto"/>
        <w:rPr>
          <w:rFonts w:ascii="Arial" w:hAnsi="Arial" w:cs="Arial"/>
        </w:rPr>
      </w:pPr>
    </w:p>
    <w:p w:rsidR="001618E2" w:rsidRPr="00074CC3" w:rsidRDefault="00375655">
      <w:pPr>
        <w:spacing w:after="0" w:line="240" w:lineRule="auto"/>
        <w:rPr>
          <w:rFonts w:ascii="Arial" w:hAnsi="Arial" w:cs="Arial"/>
        </w:rPr>
      </w:pPr>
      <w:proofErr w:type="gramStart"/>
      <w:r w:rsidRPr="00074CC3">
        <w:rPr>
          <w:rFonts w:ascii="Arial" w:hAnsi="Arial" w:cs="Arial"/>
          <w:b/>
        </w:rPr>
        <w:t>Biology II standard</w:t>
      </w:r>
      <w:r w:rsidRPr="00074CC3">
        <w:rPr>
          <w:rFonts w:ascii="Arial" w:hAnsi="Arial" w:cs="Arial"/>
        </w:rPr>
        <w:t xml:space="preserve"> </w:t>
      </w:r>
      <w:r w:rsidRPr="00074CC3">
        <w:rPr>
          <w:rFonts w:ascii="Arial" w:hAnsi="Arial" w:cs="Arial"/>
          <w:b/>
        </w:rPr>
        <w:t xml:space="preserve">3216.4.6 </w:t>
      </w:r>
      <w:r w:rsidRPr="00074CC3">
        <w:rPr>
          <w:rFonts w:ascii="Arial" w:hAnsi="Arial" w:cs="Arial"/>
        </w:rPr>
        <w:t>Recognize how various types of mutations affect gene expression and the sequence of amino acids in the encoded protein.</w:t>
      </w:r>
      <w:proofErr w:type="gramEnd"/>
    </w:p>
    <w:p w:rsidR="001618E2" w:rsidRPr="00074CC3" w:rsidRDefault="001618E2">
      <w:pPr>
        <w:rPr>
          <w:rFonts w:ascii="Arial" w:hAnsi="Arial" w:cs="Arial"/>
        </w:rPr>
      </w:pPr>
    </w:p>
    <w:sectPr w:rsidR="001618E2" w:rsidRPr="00074CC3" w:rsidSect="00375655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159"/>
    <w:multiLevelType w:val="multilevel"/>
    <w:tmpl w:val="503C77D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79053EF"/>
    <w:multiLevelType w:val="hybridMultilevel"/>
    <w:tmpl w:val="86EE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701"/>
    <w:multiLevelType w:val="multilevel"/>
    <w:tmpl w:val="519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1E80"/>
    <w:multiLevelType w:val="multilevel"/>
    <w:tmpl w:val="7212AAE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D8105B4"/>
    <w:multiLevelType w:val="multilevel"/>
    <w:tmpl w:val="EFE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923B0"/>
    <w:multiLevelType w:val="hybridMultilevel"/>
    <w:tmpl w:val="9A90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6241"/>
    <w:multiLevelType w:val="multilevel"/>
    <w:tmpl w:val="3B30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C7609"/>
    <w:multiLevelType w:val="multilevel"/>
    <w:tmpl w:val="FB0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A62E4"/>
    <w:multiLevelType w:val="multilevel"/>
    <w:tmpl w:val="05C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526B3"/>
    <w:multiLevelType w:val="multilevel"/>
    <w:tmpl w:val="A65A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1618E2"/>
    <w:rsid w:val="00074CC3"/>
    <w:rsid w:val="0008365C"/>
    <w:rsid w:val="001618E2"/>
    <w:rsid w:val="002D7A69"/>
    <w:rsid w:val="00375655"/>
    <w:rsid w:val="003A7B39"/>
    <w:rsid w:val="004B3ECB"/>
    <w:rsid w:val="004B440B"/>
    <w:rsid w:val="0078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E01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784E01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784E0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784E0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84E01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784E01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84E0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84E01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784E0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3756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4C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37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CCRA/R/4/" TargetMode="External"/><Relationship Id="rId13" Type="http://schemas.openxmlformats.org/officeDocument/2006/relationships/hyperlink" Target="http://www.corestandards.org/ELA-Literacy/CCRA/W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CCRA/R/1/" TargetMode="External"/><Relationship Id="rId12" Type="http://schemas.openxmlformats.org/officeDocument/2006/relationships/hyperlink" Target="http://www.corestandards.org/ELA-Literacy/CCRA/W/1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l.ac.uk/~regonse/Roots_of_Cancer.pdf" TargetMode="External"/><Relationship Id="rId11" Type="http://schemas.openxmlformats.org/officeDocument/2006/relationships/hyperlink" Target="http://www.corestandards.org/ELA-Literacy/CCRA/R/9/" TargetMode="External"/><Relationship Id="rId5" Type="http://schemas.openxmlformats.org/officeDocument/2006/relationships/hyperlink" Target="http://www.ucl.ac.uk/~regonse/Roots_of_Cancer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restandards.org/ELA-Literacy/CCRA/R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CCRA/R/6/" TargetMode="External"/><Relationship Id="rId14" Type="http://schemas.openxmlformats.org/officeDocument/2006/relationships/hyperlink" Target="http://www.corestandards.org/ELA-Literacy/CCRA/W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11-CCR Science.Cancer Roots.docx</vt:lpstr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11-CCR Science.Cancer Roots.docx</dc:title>
  <dc:creator>Kalee Barbis</dc:creator>
  <cp:lastModifiedBy>Lior Klirs</cp:lastModifiedBy>
  <cp:revision>7</cp:revision>
  <dcterms:created xsi:type="dcterms:W3CDTF">2013-08-06T15:26:00Z</dcterms:created>
  <dcterms:modified xsi:type="dcterms:W3CDTF">2013-08-26T14:24:00Z</dcterms:modified>
</cp:coreProperties>
</file>